
<file path=[Content_Types].xml><?xml version="1.0" encoding="utf-8"?>
<Types xmlns="http://schemas.openxmlformats.org/package/2006/content-types">
  <Default Extension="jfif"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C781C" w:rsidRDefault="008F7158">
      <w:pPr>
        <w:pStyle w:val="Titre"/>
        <w:pBdr>
          <w:bottom w:val="single" w:sz="12" w:space="9" w:color="B2A1C7"/>
        </w:pBdr>
        <w:spacing w:before="0" w:after="0"/>
        <w:rPr>
          <w:rFonts w:ascii="Cambria" w:eastAsia="Cambria" w:hAnsi="Cambria" w:cs="Cambria"/>
          <w:b/>
        </w:rPr>
      </w:pPr>
      <w:r>
        <w:rPr>
          <w:rFonts w:ascii="Cambria" w:eastAsia="Cambria" w:hAnsi="Cambria" w:cs="Cambria"/>
          <w:b/>
        </w:rPr>
        <w:t>Financements européens pertinents pour la transition écologique et énergétique dans le Grand Est</w:t>
      </w:r>
    </w:p>
    <w:p w14:paraId="00000002" w14:textId="7AF0DFA1" w:rsidR="00CC781C" w:rsidRDefault="00924136">
      <w:pPr>
        <w:spacing w:before="240"/>
        <w:jc w:val="center"/>
        <w:rPr>
          <w:rFonts w:ascii="Cambria" w:eastAsia="Cambria" w:hAnsi="Cambria" w:cs="Cambria"/>
          <w:b/>
          <w:smallCaps/>
          <w:color w:val="403152"/>
          <w:sz w:val="40"/>
          <w:szCs w:val="40"/>
        </w:rPr>
      </w:pPr>
      <w:sdt>
        <w:sdtPr>
          <w:tag w:val="goog_rdk_0"/>
          <w:id w:val="-826363511"/>
        </w:sdtPr>
        <w:sdtEndPr/>
        <w:sdtContent/>
      </w:sdt>
      <w:r w:rsidR="00620CF4">
        <w:rPr>
          <w:rFonts w:ascii="Cambria" w:eastAsia="Cambria" w:hAnsi="Cambria" w:cs="Cambria"/>
          <w:b/>
          <w:smallCaps/>
          <w:color w:val="403152"/>
          <w:sz w:val="40"/>
          <w:szCs w:val="40"/>
        </w:rPr>
        <w:t xml:space="preserve">Horizon Europe </w:t>
      </w:r>
    </w:p>
    <w:p w14:paraId="78F22A36" w14:textId="0FF97DA1" w:rsidR="00620CF4" w:rsidRDefault="00620CF4">
      <w:pPr>
        <w:spacing w:before="240"/>
        <w:jc w:val="center"/>
        <w:rPr>
          <w:rFonts w:ascii="Cambria" w:eastAsia="Cambria" w:hAnsi="Cambria" w:cs="Cambria"/>
          <w:b/>
          <w:smallCaps/>
          <w:color w:val="403152"/>
          <w:sz w:val="40"/>
          <w:szCs w:val="40"/>
        </w:rPr>
      </w:pPr>
      <w:r>
        <w:rPr>
          <w:rFonts w:ascii="Cambria" w:eastAsia="Cambria" w:hAnsi="Cambria" w:cs="Cambria"/>
          <w:b/>
          <w:smallCaps/>
          <w:noProof/>
          <w:color w:val="403152"/>
          <w:sz w:val="40"/>
          <w:szCs w:val="40"/>
        </w:rPr>
        <w:drawing>
          <wp:inline distT="0" distB="0" distL="0" distR="0" wp14:anchorId="7155438E" wp14:editId="31F3143E">
            <wp:extent cx="1485900" cy="2072439"/>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a:extLst>
                        <a:ext uri="{28A0092B-C50C-407E-A947-70E740481C1C}">
                          <a14:useLocalDpi xmlns:a14="http://schemas.microsoft.com/office/drawing/2010/main" val="0"/>
                        </a:ext>
                      </a:extLst>
                    </a:blip>
                    <a:stretch>
                      <a:fillRect/>
                    </a:stretch>
                  </pic:blipFill>
                  <pic:spPr>
                    <a:xfrm>
                      <a:off x="0" y="0"/>
                      <a:ext cx="1487691" cy="2074937"/>
                    </a:xfrm>
                    <a:prstGeom prst="rect">
                      <a:avLst/>
                    </a:prstGeom>
                  </pic:spPr>
                </pic:pic>
              </a:graphicData>
            </a:graphic>
          </wp:inline>
        </w:drawing>
      </w:r>
    </w:p>
    <w:p w14:paraId="2B2433B1" w14:textId="6F003945" w:rsidR="00932D39" w:rsidRDefault="00932D39">
      <w:pPr>
        <w:pBdr>
          <w:top w:val="nil"/>
          <w:left w:val="nil"/>
          <w:bottom w:val="nil"/>
          <w:right w:val="nil"/>
          <w:between w:val="nil"/>
        </w:pBdr>
      </w:pPr>
    </w:p>
    <w:p w14:paraId="4CA53A17" w14:textId="79B25FD7" w:rsidR="00BD3F7C" w:rsidRDefault="00BD3F7C" w:rsidP="00BD3F7C">
      <w:pPr>
        <w:pStyle w:val="EnvTitreparagraphe"/>
        <w:numPr>
          <w:ilvl w:val="0"/>
          <w:numId w:val="0"/>
        </w:numPr>
        <w:spacing w:before="0"/>
        <w:ind w:left="360" w:hanging="360"/>
        <w:rPr>
          <w:sz w:val="24"/>
          <w:szCs w:val="24"/>
        </w:rPr>
      </w:pPr>
    </w:p>
    <w:p w14:paraId="77D98302" w14:textId="1EB76D08" w:rsidR="00C47BF3" w:rsidRPr="00B80913" w:rsidRDefault="00B80913" w:rsidP="00B80913">
      <w:pPr>
        <w:pStyle w:val="Sous-titre"/>
        <w:rPr>
          <w:color w:val="8064A2" w:themeColor="accent4"/>
        </w:rPr>
      </w:pPr>
      <w:r w:rsidRPr="00B80913">
        <w:rPr>
          <w:color w:val="8064A2" w:themeColor="accent4"/>
        </w:rPr>
        <w:t xml:space="preserve">Présentation générale </w:t>
      </w:r>
      <w:r w:rsidR="00285A09">
        <w:rPr>
          <w:color w:val="8064A2" w:themeColor="accent4"/>
        </w:rPr>
        <w:t>du pilier II</w:t>
      </w:r>
      <w:r w:rsidRPr="00B80913">
        <w:rPr>
          <w:color w:val="8064A2" w:themeColor="accent4"/>
        </w:rPr>
        <w:t xml:space="preserve"> – les grandes notions à connaitre</w:t>
      </w:r>
    </w:p>
    <w:p w14:paraId="2DFE4658" w14:textId="77777777" w:rsidR="00B80913" w:rsidRDefault="00B80913" w:rsidP="00BD3F7C">
      <w:pPr>
        <w:pStyle w:val="EnvTitreparagraphe"/>
        <w:numPr>
          <w:ilvl w:val="0"/>
          <w:numId w:val="0"/>
        </w:numPr>
        <w:spacing w:before="0"/>
        <w:ind w:left="360" w:hanging="360"/>
        <w:rPr>
          <w:sz w:val="24"/>
          <w:szCs w:val="24"/>
        </w:rPr>
      </w:pPr>
    </w:p>
    <w:p w14:paraId="4DB9818F" w14:textId="77777777" w:rsidR="00233867" w:rsidRDefault="00C47BF3" w:rsidP="00C47BF3">
      <w:pPr>
        <w:pBdr>
          <w:top w:val="nil"/>
          <w:left w:val="nil"/>
          <w:bottom w:val="nil"/>
          <w:right w:val="nil"/>
          <w:between w:val="nil"/>
        </w:pBdr>
        <w:jc w:val="both"/>
      </w:pPr>
      <w:r>
        <w:t>Le programme Horizon Europe a pour but de financer la recherche et le développement de l’innovation pour l’Union européenne. Contrairement à certaines idées reçues il ne vise pas uniquement au financement de la recherche fondamentale (recherche en laboratoire, qui est prise en charge par le premier pilier du programme) mais bien toute sorte de recherche</w:t>
      </w:r>
      <w:r w:rsidR="00650ACD">
        <w:t>s</w:t>
      </w:r>
      <w:r>
        <w:t>, test</w:t>
      </w:r>
      <w:r w:rsidR="00650ACD">
        <w:t>s</w:t>
      </w:r>
      <w:r>
        <w:t>, démonstration</w:t>
      </w:r>
      <w:r w:rsidR="00650ACD">
        <w:t>s</w:t>
      </w:r>
      <w:r>
        <w:t xml:space="preserve">. </w:t>
      </w:r>
    </w:p>
    <w:p w14:paraId="48B877C9" w14:textId="77777777" w:rsidR="00233867" w:rsidRDefault="00233867" w:rsidP="00C47BF3">
      <w:pPr>
        <w:pBdr>
          <w:top w:val="nil"/>
          <w:left w:val="nil"/>
          <w:bottom w:val="nil"/>
          <w:right w:val="nil"/>
          <w:between w:val="nil"/>
        </w:pBdr>
        <w:jc w:val="both"/>
      </w:pPr>
    </w:p>
    <w:p w14:paraId="1C4DB3B8" w14:textId="77777777" w:rsidR="00233867" w:rsidRDefault="00233867" w:rsidP="00C47BF3">
      <w:pPr>
        <w:pBdr>
          <w:top w:val="nil"/>
          <w:left w:val="nil"/>
          <w:bottom w:val="nil"/>
          <w:right w:val="nil"/>
          <w:between w:val="nil"/>
        </w:pBdr>
        <w:jc w:val="both"/>
      </w:pPr>
      <w:r>
        <w:t>Ce programme est constitué de trois grands piliers :</w:t>
      </w:r>
    </w:p>
    <w:p w14:paraId="57C0F250" w14:textId="201CC134" w:rsidR="00233867" w:rsidRDefault="00233867" w:rsidP="00233867">
      <w:pPr>
        <w:pStyle w:val="Paragraphedeliste"/>
        <w:numPr>
          <w:ilvl w:val="0"/>
          <w:numId w:val="32"/>
        </w:numPr>
        <w:pBdr>
          <w:top w:val="nil"/>
          <w:left w:val="nil"/>
          <w:bottom w:val="nil"/>
          <w:right w:val="nil"/>
          <w:between w:val="nil"/>
        </w:pBdr>
        <w:jc w:val="both"/>
      </w:pPr>
      <w:r>
        <w:t>Le pilier 1, qui vise à financer la recherche fondamentale, notamment via la recherche en laboratoire, le financement de bourse et les échanges entre chercheurs.</w:t>
      </w:r>
    </w:p>
    <w:p w14:paraId="2DA11127" w14:textId="6F28051F" w:rsidR="00233867" w:rsidRDefault="00C47BF3" w:rsidP="00233867">
      <w:pPr>
        <w:pStyle w:val="Paragraphedeliste"/>
        <w:numPr>
          <w:ilvl w:val="0"/>
          <w:numId w:val="32"/>
        </w:numPr>
        <w:pBdr>
          <w:top w:val="nil"/>
          <w:left w:val="nil"/>
          <w:bottom w:val="nil"/>
          <w:right w:val="nil"/>
          <w:between w:val="nil"/>
        </w:pBdr>
        <w:jc w:val="both"/>
      </w:pPr>
      <w:r>
        <w:t xml:space="preserve">Le pilier </w:t>
      </w:r>
      <w:r w:rsidR="00DC7225">
        <w:t>2</w:t>
      </w:r>
      <w:r>
        <w:t xml:space="preserve"> finance des projet</w:t>
      </w:r>
      <w:r w:rsidR="007A683C">
        <w:t>s</w:t>
      </w:r>
      <w:r>
        <w:t xml:space="preserve"> de </w:t>
      </w:r>
      <w:r w:rsidR="00233867">
        <w:t>re</w:t>
      </w:r>
      <w:r>
        <w:t>cherche et d’innovation appliquée,</w:t>
      </w:r>
      <w:r w:rsidR="00233867">
        <w:t xml:space="preserve"> à des niveau de TRL moyens (entre 4 et 8)</w:t>
      </w:r>
      <w:r>
        <w:t xml:space="preserve"> c’est-à-dire des projets innovants testant de nouvelles solutions</w:t>
      </w:r>
      <w:r w:rsidR="00233867">
        <w:t>, technologies ou méthodes sur des « problématiques mondiales » très variées</w:t>
      </w:r>
    </w:p>
    <w:p w14:paraId="365A36C3" w14:textId="697E8FD5" w:rsidR="00C47BF3" w:rsidRDefault="00233867" w:rsidP="00233867">
      <w:pPr>
        <w:pStyle w:val="Paragraphedeliste"/>
        <w:numPr>
          <w:ilvl w:val="0"/>
          <w:numId w:val="32"/>
        </w:numPr>
        <w:pBdr>
          <w:top w:val="nil"/>
          <w:left w:val="nil"/>
          <w:bottom w:val="nil"/>
          <w:right w:val="nil"/>
          <w:between w:val="nil"/>
        </w:pBdr>
        <w:jc w:val="both"/>
      </w:pPr>
      <w:r>
        <w:t>Le pilier 3 quant à lui vise à financer l’innovation et l’excellence industrielle, ces projets sont donc principalement portés par les entreprises, PME, start-up ou autres acteurs de l’innovation</w:t>
      </w:r>
    </w:p>
    <w:p w14:paraId="4F572C0D" w14:textId="6B1407A0" w:rsidR="002F5889" w:rsidRDefault="002F5889" w:rsidP="00C47BF3">
      <w:pPr>
        <w:pBdr>
          <w:top w:val="nil"/>
          <w:left w:val="nil"/>
          <w:bottom w:val="nil"/>
          <w:right w:val="nil"/>
          <w:between w:val="nil"/>
        </w:pBdr>
        <w:jc w:val="both"/>
      </w:pPr>
    </w:p>
    <w:p w14:paraId="34A91F95" w14:textId="77777777" w:rsidR="00005466" w:rsidRDefault="00005466" w:rsidP="00C47BF3">
      <w:pPr>
        <w:pBdr>
          <w:top w:val="nil"/>
          <w:left w:val="nil"/>
          <w:bottom w:val="nil"/>
          <w:right w:val="nil"/>
          <w:between w:val="nil"/>
        </w:pBdr>
        <w:jc w:val="both"/>
      </w:pPr>
      <w:r>
        <w:t>Le pilier 1, visant la recherche fondamentale et étant déjà connu et mobilisé par les différents acteurs de la recherche, ne sera pas développé ici.</w:t>
      </w:r>
    </w:p>
    <w:p w14:paraId="027C6C7D" w14:textId="77777777" w:rsidR="00005466" w:rsidRDefault="00005466" w:rsidP="00C47BF3">
      <w:pPr>
        <w:pBdr>
          <w:top w:val="nil"/>
          <w:left w:val="nil"/>
          <w:bottom w:val="nil"/>
          <w:right w:val="nil"/>
          <w:between w:val="nil"/>
        </w:pBdr>
        <w:jc w:val="both"/>
      </w:pPr>
      <w:r>
        <w:t xml:space="preserve">Le pilier 3, très spécifiques et comprenant des outils de financement distincts, fait l’objet d’une fiche propre. </w:t>
      </w:r>
    </w:p>
    <w:p w14:paraId="044EED26" w14:textId="77777777" w:rsidR="00005466" w:rsidRDefault="00005466" w:rsidP="00C47BF3">
      <w:pPr>
        <w:pBdr>
          <w:top w:val="nil"/>
          <w:left w:val="nil"/>
          <w:bottom w:val="nil"/>
          <w:right w:val="nil"/>
          <w:between w:val="nil"/>
        </w:pBdr>
        <w:jc w:val="both"/>
      </w:pPr>
    </w:p>
    <w:p w14:paraId="42A4699E" w14:textId="764C9DD1" w:rsidR="00C47BF3" w:rsidRDefault="00005466" w:rsidP="00C47BF3">
      <w:pPr>
        <w:pBdr>
          <w:top w:val="nil"/>
          <w:left w:val="nil"/>
          <w:bottom w:val="nil"/>
          <w:right w:val="nil"/>
          <w:between w:val="nil"/>
        </w:pBdr>
        <w:jc w:val="both"/>
      </w:pPr>
      <w:r>
        <w:t xml:space="preserve">Nous allons donc ici présenter les grandes notions et les différents types de projets recherchés par le pilier 2. </w:t>
      </w:r>
      <w:r w:rsidR="00C47BF3">
        <w:t xml:space="preserve">Pour </w:t>
      </w:r>
      <w:r>
        <w:t>ce pilier</w:t>
      </w:r>
      <w:r w:rsidR="00233867">
        <w:t xml:space="preserve"> 2</w:t>
      </w:r>
      <w:r w:rsidR="00DC7225">
        <w:t xml:space="preserve"> </w:t>
      </w:r>
      <w:r w:rsidR="007A683C">
        <w:t>(cf. structure du programme ci-dessous)</w:t>
      </w:r>
      <w:r w:rsidR="00C47BF3">
        <w:t xml:space="preserve">, les acteurs impliqués ne sont </w:t>
      </w:r>
      <w:r>
        <w:t xml:space="preserve">e </w:t>
      </w:r>
      <w:proofErr w:type="spellStart"/>
      <w:r>
        <w:t>neffet</w:t>
      </w:r>
      <w:proofErr w:type="spellEnd"/>
      <w:r>
        <w:t xml:space="preserve"> </w:t>
      </w:r>
      <w:r w:rsidR="00C47BF3">
        <w:t xml:space="preserve">pas forcément uniquement les acteurs de la recherche (Université, laboratoires, etc.) mais bien tous les acteurs pouvant faire avancer les connaissances, technologies et méthodes disponibles pour l’instant sur le territoire de l’Union européenne : acteurs de la recherche donc, mais également start-up, institutions compétentes (Météo France, </w:t>
      </w:r>
      <w:r w:rsidR="00C47BF3">
        <w:lastRenderedPageBreak/>
        <w:t>ADEME, OFB, agences régionales, etc.), entreprises, associations, autorités locales (villes, départements, régions), etc.</w:t>
      </w:r>
    </w:p>
    <w:p w14:paraId="06E9240A" w14:textId="77777777" w:rsidR="002F5889" w:rsidRDefault="002F5889" w:rsidP="00233867">
      <w:pPr>
        <w:pBdr>
          <w:top w:val="nil"/>
          <w:left w:val="nil"/>
          <w:bottom w:val="nil"/>
          <w:right w:val="nil"/>
          <w:between w:val="nil"/>
        </w:pBdr>
        <w:jc w:val="both"/>
      </w:pPr>
    </w:p>
    <w:p w14:paraId="106AC869" w14:textId="47E06756" w:rsidR="00650ACD" w:rsidRPr="00233867" w:rsidRDefault="00C47BF3" w:rsidP="00233867">
      <w:pPr>
        <w:pBdr>
          <w:top w:val="nil"/>
          <w:left w:val="nil"/>
          <w:bottom w:val="nil"/>
          <w:right w:val="nil"/>
          <w:between w:val="nil"/>
        </w:pBdr>
        <w:jc w:val="both"/>
      </w:pPr>
      <w:r>
        <w:t xml:space="preserve">Le propre des projets Horizon Europe </w:t>
      </w:r>
      <w:r w:rsidR="00233867">
        <w:t>é</w:t>
      </w:r>
      <w:r>
        <w:t>t</w:t>
      </w:r>
      <w:r w:rsidR="00233867">
        <w:t>ant</w:t>
      </w:r>
      <w:r>
        <w:t xml:space="preserve"> la coopération européenne, </w:t>
      </w:r>
      <w:r w:rsidRPr="00D823D8">
        <w:rPr>
          <w:b/>
          <w:bCs/>
        </w:rPr>
        <w:t xml:space="preserve">il est obligatoire pour </w:t>
      </w:r>
      <w:r w:rsidR="00233867">
        <w:rPr>
          <w:b/>
          <w:bCs/>
        </w:rPr>
        <w:t>beaucoup de ces</w:t>
      </w:r>
      <w:r w:rsidRPr="00D823D8">
        <w:rPr>
          <w:b/>
          <w:bCs/>
        </w:rPr>
        <w:t xml:space="preserve"> projets de monter un partenariat international</w:t>
      </w:r>
      <w:r>
        <w:t>, comprenant des acteurs représentant au moins 3 pays membres de l’Union.</w:t>
      </w:r>
      <w:r w:rsidR="00233867">
        <w:t xml:space="preserve"> Cela n’est cependant pas le cas pour tous les projets ni tous les programmes, les différents cas de figure sont présentés plus bas.</w:t>
      </w:r>
    </w:p>
    <w:p w14:paraId="46034D28" w14:textId="77777777" w:rsidR="002E4554" w:rsidRDefault="002E4554" w:rsidP="000F3E43">
      <w:pPr>
        <w:pStyle w:val="EnvTitreparagraphe"/>
        <w:numPr>
          <w:ilvl w:val="0"/>
          <w:numId w:val="0"/>
        </w:numPr>
        <w:spacing w:before="0"/>
        <w:rPr>
          <w:sz w:val="24"/>
          <w:szCs w:val="24"/>
        </w:rPr>
      </w:pPr>
    </w:p>
    <w:p w14:paraId="0173EA5C" w14:textId="58A1A78A" w:rsidR="00932D39" w:rsidRDefault="00932D39" w:rsidP="00932D39">
      <w:pPr>
        <w:pStyle w:val="EnvTitreparagraphe"/>
        <w:numPr>
          <w:ilvl w:val="0"/>
          <w:numId w:val="8"/>
        </w:numPr>
        <w:spacing w:before="0"/>
        <w:rPr>
          <w:sz w:val="24"/>
          <w:szCs w:val="24"/>
        </w:rPr>
      </w:pPr>
      <w:r>
        <w:rPr>
          <w:sz w:val="24"/>
          <w:szCs w:val="24"/>
        </w:rPr>
        <w:t>Domaines stratégiques pour le Grand Est touchés par le programme</w:t>
      </w:r>
    </w:p>
    <w:p w14:paraId="73A4C336" w14:textId="1C6DDBD5" w:rsidR="00047829" w:rsidRDefault="00924136" w:rsidP="00363139">
      <w:pPr>
        <w:pBdr>
          <w:top w:val="nil"/>
          <w:left w:val="nil"/>
          <w:bottom w:val="nil"/>
          <w:right w:val="nil"/>
          <w:between w:val="nil"/>
        </w:pBdr>
        <w:jc w:val="both"/>
        <w:rPr>
          <w:color w:val="000000"/>
        </w:rPr>
      </w:pPr>
      <w:sdt>
        <w:sdtPr>
          <w:tag w:val="goog_rdk_4"/>
          <w:id w:val="644929154"/>
        </w:sdtPr>
        <w:sdtEndPr/>
        <w:sdtContent/>
      </w:sdt>
      <w:r w:rsidR="000F3E43">
        <w:rPr>
          <w:color w:val="000000"/>
        </w:rPr>
        <w:t>Le programme Horizon Europe est le programme cadre pour la recherche et l’innovation de l’Union européenne.</w:t>
      </w:r>
      <w:r w:rsidR="00650ACD">
        <w:rPr>
          <w:color w:val="000000"/>
        </w:rPr>
        <w:t xml:space="preserve"> Son pilier </w:t>
      </w:r>
      <w:r w:rsidR="00DC7225">
        <w:rPr>
          <w:color w:val="000000"/>
        </w:rPr>
        <w:t>2</w:t>
      </w:r>
      <w:r w:rsidR="00650ACD">
        <w:rPr>
          <w:color w:val="000000"/>
        </w:rPr>
        <w:t xml:space="preserve">, « Problématiques mondiales et compétitivité industrielle », touche une variété très élevée de sujets, regroupés en clusters, </w:t>
      </w:r>
      <w:r w:rsidR="000F3E43">
        <w:rPr>
          <w:color w:val="000000"/>
        </w:rPr>
        <w:t>dont plusieurs sont en adéquation avec les objectifs environnementaux de la Région Grand Est</w:t>
      </w:r>
      <w:r w:rsidR="00650ACD">
        <w:rPr>
          <w:color w:val="000000"/>
        </w:rPr>
        <w:t>. Ces clusters sont les suivants</w:t>
      </w:r>
      <w:r w:rsidR="000F3E43">
        <w:rPr>
          <w:color w:val="000000"/>
        </w:rPr>
        <w:t> :</w:t>
      </w:r>
    </w:p>
    <w:p w14:paraId="6AEFE92C" w14:textId="79AFA145" w:rsidR="000F3E43" w:rsidRDefault="000F3E43" w:rsidP="000F3E43">
      <w:pPr>
        <w:pBdr>
          <w:top w:val="nil"/>
          <w:left w:val="nil"/>
          <w:bottom w:val="nil"/>
          <w:right w:val="nil"/>
          <w:between w:val="nil"/>
        </w:pBdr>
        <w:rPr>
          <w:color w:val="000000"/>
        </w:rPr>
      </w:pPr>
      <w:r>
        <w:rPr>
          <w:color w:val="000000"/>
        </w:rPr>
        <w:t>- La santé</w:t>
      </w:r>
      <w:r w:rsidR="00297416">
        <w:rPr>
          <w:color w:val="000000"/>
        </w:rPr>
        <w:t xml:space="preserve"> (qualité de l’air ; impact du changement climatique)</w:t>
      </w:r>
    </w:p>
    <w:p w14:paraId="3EF4C4EE" w14:textId="3D973CC4" w:rsidR="000F3E43" w:rsidRDefault="000F3E43" w:rsidP="000F3E43">
      <w:pPr>
        <w:pBdr>
          <w:top w:val="nil"/>
          <w:left w:val="nil"/>
          <w:bottom w:val="nil"/>
          <w:right w:val="nil"/>
          <w:between w:val="nil"/>
        </w:pBdr>
        <w:rPr>
          <w:color w:val="000000"/>
        </w:rPr>
      </w:pPr>
      <w:r>
        <w:rPr>
          <w:color w:val="000000"/>
        </w:rPr>
        <w:t xml:space="preserve">- </w:t>
      </w:r>
      <w:r w:rsidR="00650ACD">
        <w:rPr>
          <w:color w:val="000000"/>
        </w:rPr>
        <w:t>Le n</w:t>
      </w:r>
      <w:r w:rsidR="00297416">
        <w:rPr>
          <w:color w:val="000000"/>
        </w:rPr>
        <w:t>umérique, industrie et espace (décarbonation des entreprises)</w:t>
      </w:r>
    </w:p>
    <w:p w14:paraId="4EBAE498" w14:textId="49A5B4AC" w:rsidR="000F3E43" w:rsidRDefault="000F3E43" w:rsidP="000F3E43">
      <w:pPr>
        <w:pBdr>
          <w:top w:val="nil"/>
          <w:left w:val="nil"/>
          <w:bottom w:val="nil"/>
          <w:right w:val="nil"/>
          <w:between w:val="nil"/>
        </w:pBdr>
        <w:rPr>
          <w:color w:val="000000"/>
        </w:rPr>
      </w:pPr>
      <w:r>
        <w:rPr>
          <w:color w:val="000000"/>
        </w:rPr>
        <w:t>- Le climat, l’énergie, la mobilité</w:t>
      </w:r>
    </w:p>
    <w:p w14:paraId="7510F962" w14:textId="78D040C9" w:rsidR="000F3E43" w:rsidRDefault="000F3E43" w:rsidP="000F3E43">
      <w:pPr>
        <w:pBdr>
          <w:top w:val="nil"/>
          <w:left w:val="nil"/>
          <w:bottom w:val="nil"/>
          <w:right w:val="nil"/>
          <w:between w:val="nil"/>
        </w:pBdr>
        <w:rPr>
          <w:color w:val="000000"/>
        </w:rPr>
      </w:pPr>
      <w:r>
        <w:rPr>
          <w:color w:val="000000"/>
        </w:rPr>
        <w:t>- L’alimentation, la bioéconomie, les ressources naturelles, l’agriculture et l’environnement</w:t>
      </w:r>
    </w:p>
    <w:p w14:paraId="685268F6" w14:textId="3C918EA4" w:rsidR="000F3E43" w:rsidRDefault="000F3E43" w:rsidP="000F3E43">
      <w:pPr>
        <w:pBdr>
          <w:top w:val="nil"/>
          <w:left w:val="nil"/>
          <w:bottom w:val="nil"/>
          <w:right w:val="nil"/>
          <w:between w:val="nil"/>
        </w:pBdr>
        <w:rPr>
          <w:color w:val="000000"/>
        </w:rPr>
      </w:pPr>
    </w:p>
    <w:p w14:paraId="0357655E" w14:textId="72E3CD05" w:rsidR="000F3E43" w:rsidRDefault="000F3E43" w:rsidP="000F3E43">
      <w:pPr>
        <w:pBdr>
          <w:top w:val="nil"/>
          <w:left w:val="nil"/>
          <w:bottom w:val="nil"/>
          <w:right w:val="nil"/>
          <w:between w:val="nil"/>
        </w:pBdr>
        <w:rPr>
          <w:color w:val="000000"/>
        </w:rPr>
      </w:pPr>
      <w:r>
        <w:rPr>
          <w:color w:val="000000"/>
        </w:rPr>
        <w:t xml:space="preserve">Ils permettent de répondre à un grand nombre d’objectifs du SRADDET, à savoir : </w:t>
      </w:r>
    </w:p>
    <w:p w14:paraId="283D3B32" w14:textId="693ED55C" w:rsidR="00F54831" w:rsidRDefault="00F54831" w:rsidP="000F3E43">
      <w:pPr>
        <w:pBdr>
          <w:top w:val="nil"/>
          <w:left w:val="nil"/>
          <w:bottom w:val="nil"/>
          <w:right w:val="nil"/>
          <w:between w:val="nil"/>
        </w:pBdr>
      </w:pPr>
    </w:p>
    <w:p w14:paraId="274EBEDD" w14:textId="75563F21" w:rsidR="00297416" w:rsidRDefault="00297416" w:rsidP="001F0C28">
      <w:pPr>
        <w:pStyle w:val="Default"/>
        <w:numPr>
          <w:ilvl w:val="0"/>
          <w:numId w:val="28"/>
        </w:numPr>
        <w:jc w:val="both"/>
        <w:rPr>
          <w:sz w:val="22"/>
          <w:szCs w:val="22"/>
        </w:rPr>
      </w:pPr>
      <w:r w:rsidRPr="00363139">
        <w:rPr>
          <w:b/>
          <w:bCs/>
          <w:sz w:val="22"/>
          <w:szCs w:val="22"/>
        </w:rPr>
        <w:t xml:space="preserve">Santé, « Cluster 1 » : </w:t>
      </w:r>
      <w:r>
        <w:rPr>
          <w:sz w:val="22"/>
          <w:szCs w:val="22"/>
        </w:rPr>
        <w:t xml:space="preserve">ce cluster contient des appels à projet sur la </w:t>
      </w:r>
      <w:r w:rsidRPr="00363139">
        <w:rPr>
          <w:sz w:val="22"/>
          <w:szCs w:val="22"/>
        </w:rPr>
        <w:t>qualité de l’air intérieur ou l’impact du changement climatique sur la santé</w:t>
      </w:r>
      <w:r w:rsidRPr="000F0E5A">
        <w:rPr>
          <w:sz w:val="22"/>
          <w:szCs w:val="22"/>
        </w:rPr>
        <w:t>.</w:t>
      </w:r>
      <w:r>
        <w:rPr>
          <w:sz w:val="22"/>
          <w:szCs w:val="22"/>
        </w:rPr>
        <w:t xml:space="preserve"> La transversalité entre ces deux sujets se reflète dans l’objectif 15 du SRADDET consacré à la qualité de l’air, qui affirme qu’il est essentiel d’adopter sur cette problématique une « </w:t>
      </w:r>
      <w:r>
        <w:rPr>
          <w:i/>
          <w:iCs/>
          <w:sz w:val="22"/>
          <w:szCs w:val="22"/>
        </w:rPr>
        <w:t xml:space="preserve">approche intégrée urbanisme-transport-énergie-développement économique afin d’engager les territoires dans une démarche vertueuse de réduction des émissions à la source </w:t>
      </w:r>
      <w:r>
        <w:rPr>
          <w:sz w:val="22"/>
          <w:szCs w:val="22"/>
        </w:rPr>
        <w:t xml:space="preserve">», qui s’appuie notamment sur la planification urbaine, l’organisation des mobilités, une approche de la rénovation des bâtiments intégrant la question de la qualité de l’air, la transition énergétique, les pratiques agricoles, etc. sujets qui s’appliquent également à l’adaptation au changement climatique, afin de rendre la Région </w:t>
      </w:r>
      <w:r w:rsidR="000F0E5A">
        <w:rPr>
          <w:sz w:val="22"/>
          <w:szCs w:val="22"/>
        </w:rPr>
        <w:t>plus</w:t>
      </w:r>
      <w:r>
        <w:rPr>
          <w:sz w:val="22"/>
          <w:szCs w:val="22"/>
        </w:rPr>
        <w:t xml:space="preserve"> résiliente.</w:t>
      </w:r>
    </w:p>
    <w:p w14:paraId="2A8C1E1D" w14:textId="67CE9BEF" w:rsidR="00297416" w:rsidRDefault="00297416" w:rsidP="001F0C28">
      <w:pPr>
        <w:pBdr>
          <w:top w:val="nil"/>
          <w:left w:val="nil"/>
          <w:bottom w:val="nil"/>
          <w:right w:val="nil"/>
          <w:between w:val="nil"/>
        </w:pBdr>
        <w:jc w:val="both"/>
      </w:pPr>
    </w:p>
    <w:p w14:paraId="7C411D2D" w14:textId="66F069F7" w:rsidR="00297416" w:rsidRDefault="00233867" w:rsidP="001F0C28">
      <w:pPr>
        <w:pStyle w:val="Paragraphedeliste"/>
        <w:numPr>
          <w:ilvl w:val="0"/>
          <w:numId w:val="28"/>
        </w:numPr>
        <w:pBdr>
          <w:top w:val="nil"/>
          <w:left w:val="nil"/>
          <w:bottom w:val="nil"/>
          <w:right w:val="nil"/>
          <w:between w:val="nil"/>
        </w:pBdr>
        <w:jc w:val="both"/>
      </w:pPr>
      <w:r>
        <w:rPr>
          <w:b/>
          <w:bCs/>
        </w:rPr>
        <w:t xml:space="preserve">Numérique, Industrie et Espace </w:t>
      </w:r>
      <w:r w:rsidR="00297416" w:rsidRPr="00363139">
        <w:rPr>
          <w:b/>
          <w:bCs/>
        </w:rPr>
        <w:t>« Cluster 4 »,</w:t>
      </w:r>
      <w:r w:rsidR="00297416">
        <w:t xml:space="preserve"> </w:t>
      </w:r>
      <w:r w:rsidR="003A2C38">
        <w:t>qui répond aux objectifs 1 « Devenir une région à énergie positive et bas-carbone à l’horizon 2050 », 3 « Rechercher l’efficacité énergétique des entreprises et accompagner l’économie verte », 16 « Déployer l'économie circulaire et responsable dans notre développement » et 17 « Réduire, valoriser et traiter nos déchets »</w:t>
      </w:r>
      <w:r w:rsidR="000F0E5A">
        <w:t>. Ces objectifs</w:t>
      </w:r>
      <w:r w:rsidR="003A2C38">
        <w:t xml:space="preserve"> rappellent le rôle des entreprises dans la mise en place de systèmes d’économie circulaire (éco-conception des produits, tri des déchets, démarches d’écologie industrielle territoriale) et la nécessité de réduire les déchets à la source.</w:t>
      </w:r>
    </w:p>
    <w:p w14:paraId="2E6E78F8" w14:textId="5F237E56" w:rsidR="008B0B82" w:rsidRDefault="008B0B82" w:rsidP="001F0C28">
      <w:pPr>
        <w:pBdr>
          <w:top w:val="nil"/>
          <w:left w:val="nil"/>
          <w:bottom w:val="nil"/>
          <w:right w:val="nil"/>
          <w:between w:val="nil"/>
        </w:pBdr>
        <w:jc w:val="both"/>
      </w:pPr>
    </w:p>
    <w:p w14:paraId="6FB28494" w14:textId="029F7325" w:rsidR="008B0B82" w:rsidRDefault="008B0B82" w:rsidP="001F0C28">
      <w:pPr>
        <w:pStyle w:val="Paragraphedeliste"/>
        <w:numPr>
          <w:ilvl w:val="0"/>
          <w:numId w:val="28"/>
        </w:numPr>
        <w:pBdr>
          <w:top w:val="nil"/>
          <w:left w:val="nil"/>
          <w:bottom w:val="nil"/>
          <w:right w:val="nil"/>
          <w:between w:val="nil"/>
        </w:pBdr>
        <w:jc w:val="both"/>
      </w:pPr>
      <w:r w:rsidRPr="00363139">
        <w:rPr>
          <w:b/>
          <w:bCs/>
        </w:rPr>
        <w:t>Climat, énergie, mobilité « Cluster 5 »</w:t>
      </w:r>
      <w:r>
        <w:t xml:space="preserve"> : ce cluster contient plusieurs appels sur chacun des points de son titre, et correspond aux objectifs </w:t>
      </w:r>
      <w:r w:rsidR="00F46C57">
        <w:t xml:space="preserve">1 « Devenir une région à énergie positive et bas-carbone à l’horizon 2050 », </w:t>
      </w:r>
      <w:r w:rsidR="00F46C57" w:rsidRPr="00F46C57">
        <w:t>4</w:t>
      </w:r>
      <w:r w:rsidR="00F46C57">
        <w:t xml:space="preserve"> </w:t>
      </w:r>
      <w:r w:rsidR="00F46C57" w:rsidRPr="00F46C57">
        <w:t>« Développer les énergies renouvelables pour diversifier le mix énergétique »,</w:t>
      </w:r>
      <w:r w:rsidR="00F46C57">
        <w:t xml:space="preserve"> </w:t>
      </w:r>
      <w:r w:rsidR="00F46C57" w:rsidRPr="00F46C57">
        <w:t>5 « Optimiser et adapter les réseaux de transport d’énergie »</w:t>
      </w:r>
      <w:r w:rsidR="00316E7E">
        <w:t xml:space="preserve">, </w:t>
      </w:r>
      <w:r w:rsidR="00316E7E" w:rsidRPr="00316E7E">
        <w:t>13 « Développer l’intermodalité et les mobilités nouvelles au quotidien »</w:t>
      </w:r>
      <w:r w:rsidR="00316E7E">
        <w:t xml:space="preserve">, </w:t>
      </w:r>
      <w:r w:rsidR="00316E7E" w:rsidRPr="00316E7E">
        <w:t>15 « Améliorer la qualité de l’air, enjeu de santé publique »</w:t>
      </w:r>
      <w:r w:rsidR="00316E7E">
        <w:t xml:space="preserve"> et </w:t>
      </w:r>
      <w:r w:rsidR="00316E7E" w:rsidRPr="00316E7E">
        <w:t>20 « Valoriser les flux et devenir une référence en matière de logistique multimodale »</w:t>
      </w:r>
    </w:p>
    <w:p w14:paraId="3A11070B" w14:textId="68067155" w:rsidR="003169A1" w:rsidRDefault="003169A1" w:rsidP="003169A1">
      <w:pPr>
        <w:pBdr>
          <w:top w:val="nil"/>
          <w:left w:val="nil"/>
          <w:bottom w:val="nil"/>
          <w:right w:val="nil"/>
          <w:between w:val="nil"/>
        </w:pBdr>
        <w:jc w:val="both"/>
      </w:pPr>
    </w:p>
    <w:p w14:paraId="5A36BD0B" w14:textId="08C0D15F" w:rsidR="003169A1" w:rsidRDefault="003169A1" w:rsidP="003169A1">
      <w:pPr>
        <w:pStyle w:val="Paragraphedeliste"/>
        <w:numPr>
          <w:ilvl w:val="0"/>
          <w:numId w:val="28"/>
        </w:numPr>
        <w:pBdr>
          <w:top w:val="nil"/>
          <w:left w:val="nil"/>
          <w:bottom w:val="nil"/>
          <w:right w:val="nil"/>
          <w:between w:val="nil"/>
        </w:pBdr>
        <w:jc w:val="both"/>
      </w:pPr>
      <w:r w:rsidRPr="00363139">
        <w:rPr>
          <w:b/>
          <w:bCs/>
        </w:rPr>
        <w:t>Alimentation, bioéconomie, ressources naturelles, agriculture et environnement « Cluster 6 » </w:t>
      </w:r>
      <w:r>
        <w:t xml:space="preserve">: </w:t>
      </w:r>
      <w:r w:rsidR="00C50586">
        <w:t xml:space="preserve">ce cluster répond aux objectifs </w:t>
      </w:r>
      <w:r w:rsidR="00C50586" w:rsidRPr="00C50586">
        <w:t>8 du SRADDET, « Développer une agriculture durable de qualité à l’export comme en proximité », 9</w:t>
      </w:r>
      <w:r w:rsidR="00C50586">
        <w:t xml:space="preserve"> </w:t>
      </w:r>
      <w:r w:rsidR="00C50586" w:rsidRPr="00C50586">
        <w:t>« Valoriser la ressource en bois avec une gestion multifonctionnelle des forêts »</w:t>
      </w:r>
      <w:r w:rsidR="00C50586">
        <w:t xml:space="preserve">, </w:t>
      </w:r>
      <w:r w:rsidR="00C50586" w:rsidRPr="00C50586">
        <w:t>11 « Economiser le foncier naturel, agricole et forestier »</w:t>
      </w:r>
      <w:r w:rsidR="00C50586">
        <w:t xml:space="preserve">, </w:t>
      </w:r>
      <w:r w:rsidR="00C50586" w:rsidRPr="00C50586">
        <w:t>14 « Reconquérir les friches et accompagner les territoires en mutation »</w:t>
      </w:r>
      <w:r w:rsidR="00C50586">
        <w:t>,</w:t>
      </w:r>
    </w:p>
    <w:p w14:paraId="14484A49" w14:textId="77777777" w:rsidR="00932D39" w:rsidRDefault="00932D39" w:rsidP="00932D39">
      <w:pPr>
        <w:pStyle w:val="EnvTitreparagraphe"/>
        <w:numPr>
          <w:ilvl w:val="0"/>
          <w:numId w:val="8"/>
        </w:numPr>
        <w:rPr>
          <w:sz w:val="24"/>
          <w:szCs w:val="24"/>
        </w:rPr>
      </w:pPr>
      <w:r>
        <w:rPr>
          <w:sz w:val="24"/>
          <w:szCs w:val="24"/>
        </w:rPr>
        <w:lastRenderedPageBreak/>
        <w:t>Description du programme</w:t>
      </w:r>
    </w:p>
    <w:p w14:paraId="00000017" w14:textId="77777777" w:rsidR="00CC781C" w:rsidRDefault="00924136">
      <w:pPr>
        <w:pStyle w:val="Titre1"/>
        <w:ind w:firstLine="360"/>
      </w:pPr>
      <w:sdt>
        <w:sdtPr>
          <w:tag w:val="goog_rdk_5"/>
          <w:id w:val="-1889330677"/>
        </w:sdtPr>
        <w:sdtEndPr/>
        <w:sdtContent/>
      </w:sdt>
      <w:r w:rsidR="008F7158">
        <w:t>Présentation générale</w:t>
      </w:r>
    </w:p>
    <w:p w14:paraId="00000018" w14:textId="77777777" w:rsidR="00CC781C" w:rsidRDefault="00CC781C"/>
    <w:p w14:paraId="1C373FDD" w14:textId="76065CF2" w:rsidR="00CB4FA0" w:rsidRPr="00CB4FA0" w:rsidRDefault="00CB4FA0">
      <w:pPr>
        <w:numPr>
          <w:ilvl w:val="0"/>
          <w:numId w:val="1"/>
        </w:numPr>
        <w:pBdr>
          <w:top w:val="nil"/>
          <w:left w:val="nil"/>
          <w:bottom w:val="nil"/>
          <w:right w:val="nil"/>
          <w:between w:val="nil"/>
        </w:pBdr>
        <w:tabs>
          <w:tab w:val="left" w:pos="1307"/>
        </w:tabs>
        <w:jc w:val="both"/>
      </w:pPr>
      <w:r w:rsidRPr="00CB4FA0">
        <w:rPr>
          <w:color w:val="000000"/>
        </w:rPr>
        <w:t>Horizon Europe est le programme-cadre de l'Union européenne pour la recherche et l'innovation</w:t>
      </w:r>
      <w:r>
        <w:rPr>
          <w:color w:val="000000"/>
        </w:rPr>
        <w:t>. Ce programme est l’un des plus étendu de la Commission européenne, et finance du projet « blanc » en laboratoire jusqu’au projet de mise sur le marché. Son but premier est le soutien à l’innovation et à la compétitivité de l’Union européenne grâce au financement de la prise de risque et des innovations technologiques ou méthodologiques. Tous les sujets peuvent donc être abordés, et les thématiques</w:t>
      </w:r>
      <w:r w:rsidR="0055332E">
        <w:rPr>
          <w:color w:val="000000"/>
        </w:rPr>
        <w:t xml:space="preserve"> </w:t>
      </w:r>
      <w:r>
        <w:rPr>
          <w:color w:val="000000"/>
        </w:rPr>
        <w:t>environnementales ont une place très importante dans ce programme.</w:t>
      </w:r>
    </w:p>
    <w:p w14:paraId="1FD4AA6A" w14:textId="03AEB338" w:rsidR="00CB4FA0" w:rsidRPr="00746390" w:rsidRDefault="00CB4FA0" w:rsidP="00CB4FA0">
      <w:pPr>
        <w:numPr>
          <w:ilvl w:val="0"/>
          <w:numId w:val="1"/>
        </w:numPr>
        <w:pBdr>
          <w:top w:val="nil"/>
          <w:left w:val="nil"/>
          <w:bottom w:val="nil"/>
          <w:right w:val="nil"/>
          <w:between w:val="nil"/>
        </w:pBdr>
        <w:tabs>
          <w:tab w:val="left" w:pos="1307"/>
        </w:tabs>
        <w:jc w:val="both"/>
      </w:pPr>
      <w:r w:rsidRPr="00CB4FA0">
        <w:rPr>
          <w:color w:val="000000"/>
        </w:rPr>
        <w:t>Le 25 juillet 1983, une résolution du Conseil a institué des programmes-cadres pour des activités communautaires de recherche, de développement et de démonstration, et a ainsi lancé le premier PCRD, pour la période 1984-1987</w:t>
      </w:r>
      <w:r>
        <w:rPr>
          <w:color w:val="000000"/>
        </w:rPr>
        <w:t xml:space="preserve">. Le programme Horizon Europe </w:t>
      </w:r>
      <w:r w:rsidR="000F0E5A">
        <w:rPr>
          <w:color w:val="000000"/>
        </w:rPr>
        <w:t xml:space="preserve">(2021-2027) </w:t>
      </w:r>
      <w:r>
        <w:rPr>
          <w:color w:val="000000"/>
        </w:rPr>
        <w:t>sera le 9</w:t>
      </w:r>
      <w:r w:rsidRPr="00CB4FA0">
        <w:rPr>
          <w:color w:val="000000"/>
          <w:vertAlign w:val="superscript"/>
        </w:rPr>
        <w:t>e</w:t>
      </w:r>
      <w:r>
        <w:rPr>
          <w:color w:val="000000"/>
        </w:rPr>
        <w:t xml:space="preserve"> renouvellement de ce programme, après le FP7 (2007-2013)</w:t>
      </w:r>
      <w:r w:rsidR="000F0E5A">
        <w:rPr>
          <w:color w:val="000000"/>
        </w:rPr>
        <w:t xml:space="preserve"> et</w:t>
      </w:r>
      <w:r>
        <w:rPr>
          <w:color w:val="000000"/>
        </w:rPr>
        <w:t xml:space="preserve"> Horizon 2020 (2014-2020). Il est géré directement par la Commission, et disposera pour la nouvelle programmation de 95.5 milliards d’euros de budget (don</w:t>
      </w:r>
      <w:r w:rsidR="00DC7225">
        <w:rPr>
          <w:color w:val="000000"/>
        </w:rPr>
        <w:t>t</w:t>
      </w:r>
      <w:r>
        <w:rPr>
          <w:color w:val="000000"/>
        </w:rPr>
        <w:t xml:space="preserve"> 5 milliards issus du Plan de relance). </w:t>
      </w:r>
    </w:p>
    <w:p w14:paraId="7DBC96A9" w14:textId="1761B57C" w:rsidR="00BC239C" w:rsidRDefault="00746390" w:rsidP="00F63733">
      <w:pPr>
        <w:numPr>
          <w:ilvl w:val="0"/>
          <w:numId w:val="1"/>
        </w:numPr>
        <w:pBdr>
          <w:top w:val="nil"/>
          <w:left w:val="nil"/>
          <w:bottom w:val="nil"/>
          <w:right w:val="nil"/>
          <w:between w:val="nil"/>
        </w:pBdr>
        <w:tabs>
          <w:tab w:val="left" w:pos="1307"/>
        </w:tabs>
        <w:jc w:val="both"/>
      </w:pPr>
      <w:r>
        <w:rPr>
          <w:color w:val="000000"/>
        </w:rPr>
        <w:t>Des programmes de travail sont publiés tous les 2 ans pour présenter, à l’avance, les appels prévus sur la période. Le programme de travail 2021-2022 est donc publié, et sera suivi par la publication, fin 2022, de programmes de travail couvrant la période 2023-2024.</w:t>
      </w:r>
    </w:p>
    <w:p w14:paraId="1025E1DA" w14:textId="77777777" w:rsidR="00BC239C" w:rsidRPr="00CB4FA0" w:rsidRDefault="00BC239C" w:rsidP="00503AD5">
      <w:pPr>
        <w:pBdr>
          <w:top w:val="nil"/>
          <w:left w:val="nil"/>
          <w:bottom w:val="nil"/>
          <w:right w:val="nil"/>
          <w:between w:val="nil"/>
        </w:pBdr>
        <w:tabs>
          <w:tab w:val="left" w:pos="1307"/>
        </w:tabs>
        <w:jc w:val="both"/>
      </w:pPr>
    </w:p>
    <w:p w14:paraId="6FAA549A" w14:textId="35E56BE1" w:rsidR="00CB4FA0" w:rsidRDefault="00CB4FA0" w:rsidP="00CB4FA0">
      <w:r w:rsidRPr="00F63733">
        <w:rPr>
          <w:b/>
          <w:bCs/>
        </w:rPr>
        <w:t>Trois grands objectifs</w:t>
      </w:r>
      <w:r w:rsidR="006929D3" w:rsidRPr="00F63733">
        <w:rPr>
          <w:b/>
          <w:bCs/>
        </w:rPr>
        <w:t xml:space="preserve"> du programme</w:t>
      </w:r>
      <w:r>
        <w:t xml:space="preserve"> :</w:t>
      </w:r>
    </w:p>
    <w:p w14:paraId="27A8CDBC" w14:textId="77777777" w:rsidR="006929D3" w:rsidRDefault="00CB4FA0" w:rsidP="00CB4FA0">
      <w:pPr>
        <w:pStyle w:val="Paragraphedeliste"/>
        <w:numPr>
          <w:ilvl w:val="0"/>
          <w:numId w:val="14"/>
        </w:numPr>
      </w:pPr>
      <w:r>
        <w:t>Lutter contre le changement climatique (35% du budget devront y être alloués)</w:t>
      </w:r>
    </w:p>
    <w:p w14:paraId="07289565" w14:textId="77777777" w:rsidR="006929D3" w:rsidRDefault="00CB4FA0" w:rsidP="00CB4FA0">
      <w:pPr>
        <w:pStyle w:val="Paragraphedeliste"/>
        <w:numPr>
          <w:ilvl w:val="0"/>
          <w:numId w:val="14"/>
        </w:numPr>
      </w:pPr>
      <w:r>
        <w:t>A</w:t>
      </w:r>
      <w:r w:rsidRPr="00B05674">
        <w:t>ide à réaliser les o</w:t>
      </w:r>
      <w:r>
        <w:t>bjectifs de développement durable</w:t>
      </w:r>
    </w:p>
    <w:p w14:paraId="742C092E" w14:textId="13E9D1DB" w:rsidR="00CB4FA0" w:rsidRDefault="00CB4FA0" w:rsidP="00CB4FA0">
      <w:pPr>
        <w:pStyle w:val="Paragraphedeliste"/>
        <w:numPr>
          <w:ilvl w:val="0"/>
          <w:numId w:val="14"/>
        </w:numPr>
      </w:pPr>
      <w:r>
        <w:t>R</w:t>
      </w:r>
      <w:r w:rsidRPr="00B05674">
        <w:t>enforcer la compétitivité et l</w:t>
      </w:r>
      <w:r>
        <w:t>a croissance de l’Union européenne</w:t>
      </w:r>
    </w:p>
    <w:p w14:paraId="2C86B26D" w14:textId="77777777" w:rsidR="006929D3" w:rsidRDefault="006929D3" w:rsidP="00CB4FA0"/>
    <w:p w14:paraId="6ABA0B42" w14:textId="5F8E57D8" w:rsidR="00467F28" w:rsidRPr="002D736A" w:rsidRDefault="000752F9" w:rsidP="00706999">
      <w:pPr>
        <w:jc w:val="both"/>
      </w:pPr>
      <w:r>
        <w:t>Comme mentionné plus haut, l</w:t>
      </w:r>
      <w:r w:rsidR="00CB4FA0">
        <w:t>e programme</w:t>
      </w:r>
      <w:r w:rsidR="00BC239C">
        <w:t xml:space="preserve"> Horizon Europe est di</w:t>
      </w:r>
      <w:r w:rsidR="00CB4FA0">
        <w:t>visé en 3 grands piliers et un pilier transversal :</w:t>
      </w:r>
    </w:p>
    <w:p w14:paraId="70114CB3" w14:textId="3AB486E7" w:rsidR="00BC239C" w:rsidRDefault="00CB4FA0" w:rsidP="00706999">
      <w:pPr>
        <w:pStyle w:val="Paragraphedeliste"/>
        <w:numPr>
          <w:ilvl w:val="0"/>
          <w:numId w:val="14"/>
        </w:numPr>
        <w:jc w:val="both"/>
      </w:pPr>
      <w:r w:rsidRPr="00503AD5">
        <w:t>Pilier 1 </w:t>
      </w:r>
      <w:r w:rsidR="00550D53" w:rsidRPr="00503AD5">
        <w:t>– Excellence scientifique</w:t>
      </w:r>
      <w:r w:rsidR="00550D53">
        <w:t xml:space="preserve"> : </w:t>
      </w:r>
      <w:r>
        <w:t xml:space="preserve">Finance les </w:t>
      </w:r>
      <w:r w:rsidRPr="00B30C30">
        <w:t>« programme</w:t>
      </w:r>
      <w:r>
        <w:t>s</w:t>
      </w:r>
      <w:r w:rsidRPr="00B30C30">
        <w:t xml:space="preserve"> blanc</w:t>
      </w:r>
      <w:r>
        <w:t>s</w:t>
      </w:r>
      <w:r w:rsidRPr="00B30C30">
        <w:t xml:space="preserve"> », </w:t>
      </w:r>
      <w:r>
        <w:t>la recherche et l</w:t>
      </w:r>
      <w:r w:rsidR="001E5A62">
        <w:t>’</w:t>
      </w:r>
      <w:r w:rsidRPr="00B30C30">
        <w:t>excellence scie</w:t>
      </w:r>
      <w:r>
        <w:t xml:space="preserve">ntifique </w:t>
      </w:r>
      <w:r w:rsidR="00BC239C">
        <w:t>-</w:t>
      </w:r>
      <w:r>
        <w:t xml:space="preserve"> 25Mds</w:t>
      </w:r>
    </w:p>
    <w:p w14:paraId="58F99449" w14:textId="601E2AE2" w:rsidR="00BC239C" w:rsidRPr="006A08D8" w:rsidRDefault="00CB4FA0" w:rsidP="00706999">
      <w:pPr>
        <w:pStyle w:val="Paragraphedeliste"/>
        <w:numPr>
          <w:ilvl w:val="0"/>
          <w:numId w:val="14"/>
        </w:numPr>
        <w:jc w:val="both"/>
        <w:rPr>
          <w:b/>
          <w:bCs/>
        </w:rPr>
      </w:pPr>
      <w:r w:rsidRPr="006A08D8">
        <w:rPr>
          <w:b/>
          <w:bCs/>
        </w:rPr>
        <w:t>Pilier 2 </w:t>
      </w:r>
      <w:r w:rsidR="00550D53" w:rsidRPr="006A08D8">
        <w:rPr>
          <w:b/>
          <w:bCs/>
        </w:rPr>
        <w:t xml:space="preserve">– Problématiques mondiales et compétitivité européenne </w:t>
      </w:r>
      <w:r w:rsidRPr="006A08D8">
        <w:rPr>
          <w:b/>
          <w:bCs/>
        </w:rPr>
        <w:t>: Problématiques mondiales, rassemblent six clusters (</w:t>
      </w:r>
      <w:r w:rsidR="00DC7225" w:rsidRPr="006A08D8">
        <w:rPr>
          <w:b/>
          <w:bCs/>
        </w:rPr>
        <w:t xml:space="preserve">qui sont </w:t>
      </w:r>
      <w:r w:rsidRPr="006A08D8">
        <w:rPr>
          <w:b/>
          <w:bCs/>
        </w:rPr>
        <w:t xml:space="preserve">les anciens « défis sociétaux » d’Horizon 2020) </w:t>
      </w:r>
      <w:r w:rsidR="00BC239C" w:rsidRPr="006A08D8">
        <w:rPr>
          <w:b/>
          <w:bCs/>
        </w:rPr>
        <w:t xml:space="preserve">- </w:t>
      </w:r>
      <w:r w:rsidRPr="006A08D8">
        <w:rPr>
          <w:b/>
          <w:bCs/>
        </w:rPr>
        <w:t>53.3Mds</w:t>
      </w:r>
    </w:p>
    <w:p w14:paraId="17FF9CE9" w14:textId="1133A238" w:rsidR="00CB4FA0" w:rsidRDefault="00CB4FA0" w:rsidP="00706999">
      <w:pPr>
        <w:pStyle w:val="Paragraphedeliste"/>
        <w:numPr>
          <w:ilvl w:val="0"/>
          <w:numId w:val="14"/>
        </w:numPr>
        <w:jc w:val="both"/>
      </w:pPr>
      <w:r w:rsidRPr="00503AD5">
        <w:t xml:space="preserve">Pilier 3 </w:t>
      </w:r>
      <w:r w:rsidR="00550D53" w:rsidRPr="00503AD5">
        <w:t>– Europe innovante</w:t>
      </w:r>
      <w:r w:rsidR="00550D53">
        <w:t xml:space="preserve"> </w:t>
      </w:r>
      <w:r w:rsidRPr="00B30C30">
        <w:t xml:space="preserve">: cherche à </w:t>
      </w:r>
      <w:r w:rsidR="00941847" w:rsidRPr="00B30C30">
        <w:t>dévelop</w:t>
      </w:r>
      <w:r w:rsidR="00941847">
        <w:t>p</w:t>
      </w:r>
      <w:r w:rsidR="00941847" w:rsidRPr="00B30C30">
        <w:t>er</w:t>
      </w:r>
      <w:r w:rsidRPr="00B30C30">
        <w:t xml:space="preserve"> l</w:t>
      </w:r>
      <w:r>
        <w:t>es</w:t>
      </w:r>
      <w:r w:rsidR="00941847">
        <w:t xml:space="preserve"> innovations de rupture et les</w:t>
      </w:r>
      <w:r>
        <w:t xml:space="preserve"> écosystèmes d’innovation</w:t>
      </w:r>
      <w:r w:rsidR="00BC239C">
        <w:t xml:space="preserve"> -</w:t>
      </w:r>
      <w:r>
        <w:t xml:space="preserve"> 13.6Mds</w:t>
      </w:r>
    </w:p>
    <w:p w14:paraId="44335236" w14:textId="5776989D" w:rsidR="00CB4FA0" w:rsidRDefault="00BC239C" w:rsidP="00CB4FA0">
      <w:r w:rsidRPr="00BC239C">
        <w:t>S’y ajoute un pilier transver</w:t>
      </w:r>
      <w:r w:rsidR="002D736A">
        <w:t>s</w:t>
      </w:r>
      <w:r w:rsidRPr="00BC239C">
        <w:t>al</w:t>
      </w:r>
      <w:r w:rsidR="00941847">
        <w:t xml:space="preserve"> pour</w:t>
      </w:r>
      <w:r w:rsidR="00CB4FA0">
        <w:t xml:space="preserve"> « Elargir la participation et renforcer l’espace européen de la recherche » (3.4Mds)</w:t>
      </w:r>
      <w:r w:rsidR="00DC7225">
        <w:t>.</w:t>
      </w:r>
    </w:p>
    <w:p w14:paraId="09AAB90F" w14:textId="77777777" w:rsidR="00CB4FA0" w:rsidRPr="00CB4FA0" w:rsidRDefault="00CB4FA0" w:rsidP="00D11798">
      <w:pPr>
        <w:pBdr>
          <w:top w:val="nil"/>
          <w:left w:val="nil"/>
          <w:bottom w:val="nil"/>
          <w:right w:val="nil"/>
          <w:between w:val="nil"/>
        </w:pBdr>
        <w:tabs>
          <w:tab w:val="left" w:pos="1307"/>
        </w:tabs>
        <w:jc w:val="both"/>
      </w:pPr>
    </w:p>
    <w:p w14:paraId="193D5F1D" w14:textId="00947083" w:rsidR="00A356C5" w:rsidRDefault="00550D53" w:rsidP="00A356C5">
      <w:pPr>
        <w:rPr>
          <w:color w:val="000000"/>
        </w:rPr>
      </w:pPr>
      <w:r>
        <w:rPr>
          <w:noProof/>
          <w:color w:val="000000"/>
        </w:rPr>
        <w:lastRenderedPageBreak/>
        <w:drawing>
          <wp:inline distT="0" distB="0" distL="0" distR="0" wp14:anchorId="59ACF40B" wp14:editId="369E1CCA">
            <wp:extent cx="6210935" cy="2778760"/>
            <wp:effectExtent l="0" t="0" r="0" b="2540"/>
            <wp:docPr id="2" name="Image 2" descr="Piliers Horizon Eur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Piliers Horizon Europe"/>
                    <pic:cNvPicPr/>
                  </pic:nvPicPr>
                  <pic:blipFill>
                    <a:blip r:embed="rId10">
                      <a:extLst>
                        <a:ext uri="{28A0092B-C50C-407E-A947-70E740481C1C}">
                          <a14:useLocalDpi xmlns:a14="http://schemas.microsoft.com/office/drawing/2010/main" val="0"/>
                        </a:ext>
                      </a:extLst>
                    </a:blip>
                    <a:stretch>
                      <a:fillRect/>
                    </a:stretch>
                  </pic:blipFill>
                  <pic:spPr>
                    <a:xfrm>
                      <a:off x="0" y="0"/>
                      <a:ext cx="6210935" cy="2778760"/>
                    </a:xfrm>
                    <a:prstGeom prst="rect">
                      <a:avLst/>
                    </a:prstGeom>
                  </pic:spPr>
                </pic:pic>
              </a:graphicData>
            </a:graphic>
          </wp:inline>
        </w:drawing>
      </w:r>
    </w:p>
    <w:p w14:paraId="00560DA4" w14:textId="7AC2B826" w:rsidR="00550D53" w:rsidRPr="006929D3" w:rsidRDefault="006929D3" w:rsidP="00A356C5">
      <w:pPr>
        <w:rPr>
          <w:i/>
          <w:iCs/>
          <w:color w:val="000000"/>
          <w:sz w:val="20"/>
          <w:szCs w:val="20"/>
        </w:rPr>
      </w:pPr>
      <w:r w:rsidRPr="006929D3">
        <w:rPr>
          <w:i/>
          <w:iCs/>
          <w:color w:val="000000"/>
          <w:sz w:val="20"/>
          <w:szCs w:val="20"/>
        </w:rPr>
        <w:t xml:space="preserve">Source : </w:t>
      </w:r>
      <w:hyperlink r:id="rId11" w:history="1">
        <w:r w:rsidR="00757448" w:rsidRPr="00E8524D">
          <w:rPr>
            <w:rStyle w:val="Lienhypertexte"/>
            <w:i/>
            <w:iCs/>
            <w:sz w:val="20"/>
            <w:szCs w:val="20"/>
          </w:rPr>
          <w:t>https://www.horizon-europe.gouv.fr/presentation-du-programme-horizon-europe-24104</w:t>
        </w:r>
      </w:hyperlink>
      <w:r w:rsidR="00757448">
        <w:rPr>
          <w:i/>
          <w:iCs/>
          <w:color w:val="000000"/>
          <w:sz w:val="20"/>
          <w:szCs w:val="20"/>
        </w:rPr>
        <w:t xml:space="preserve"> </w:t>
      </w:r>
    </w:p>
    <w:p w14:paraId="604A8D77" w14:textId="2721F5EF" w:rsidR="007051C1" w:rsidRDefault="007051C1" w:rsidP="00A356C5">
      <w:pPr>
        <w:rPr>
          <w:color w:val="000000"/>
        </w:rPr>
      </w:pPr>
    </w:p>
    <w:p w14:paraId="5CE49449" w14:textId="77777777" w:rsidR="007051C1" w:rsidRDefault="007051C1" w:rsidP="00A356C5">
      <w:pPr>
        <w:rPr>
          <w:color w:val="000000"/>
        </w:rPr>
      </w:pPr>
    </w:p>
    <w:p w14:paraId="439AAE4B" w14:textId="74091DBE" w:rsidR="008B33B7" w:rsidRDefault="00550D53" w:rsidP="00A356C5">
      <w:pPr>
        <w:rPr>
          <w:color w:val="000000"/>
        </w:rPr>
      </w:pPr>
      <w:r>
        <w:rPr>
          <w:color w:val="000000"/>
        </w:rPr>
        <w:t xml:space="preserve">Le pilier 2 est de loin le mieux doté en termes de budget : </w:t>
      </w:r>
    </w:p>
    <w:p w14:paraId="342D74EE" w14:textId="367AD03A" w:rsidR="00550D53" w:rsidRDefault="00550D53" w:rsidP="00A356C5">
      <w:pPr>
        <w:rPr>
          <w:color w:val="000000"/>
        </w:rPr>
      </w:pPr>
      <w:r>
        <w:rPr>
          <w:noProof/>
          <w:color w:val="000000"/>
        </w:rPr>
        <w:drawing>
          <wp:inline distT="0" distB="0" distL="0" distR="0" wp14:anchorId="20931F68" wp14:editId="704F344E">
            <wp:extent cx="5073650" cy="27300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2">
                      <a:extLst>
                        <a:ext uri="{28A0092B-C50C-407E-A947-70E740481C1C}">
                          <a14:useLocalDpi xmlns:a14="http://schemas.microsoft.com/office/drawing/2010/main" val="0"/>
                        </a:ext>
                      </a:extLst>
                    </a:blip>
                    <a:stretch>
                      <a:fillRect/>
                    </a:stretch>
                  </pic:blipFill>
                  <pic:spPr>
                    <a:xfrm>
                      <a:off x="0" y="0"/>
                      <a:ext cx="5110310" cy="2749776"/>
                    </a:xfrm>
                    <a:prstGeom prst="rect">
                      <a:avLst/>
                    </a:prstGeom>
                  </pic:spPr>
                </pic:pic>
              </a:graphicData>
            </a:graphic>
          </wp:inline>
        </w:drawing>
      </w:r>
    </w:p>
    <w:p w14:paraId="4A470936" w14:textId="48870CAA" w:rsidR="007051C1" w:rsidRPr="007051C1" w:rsidRDefault="006929D3" w:rsidP="007051C1">
      <w:pPr>
        <w:rPr>
          <w:i/>
          <w:iCs/>
          <w:color w:val="000000"/>
          <w:sz w:val="20"/>
          <w:szCs w:val="20"/>
        </w:rPr>
      </w:pPr>
      <w:r w:rsidRPr="006929D3">
        <w:rPr>
          <w:i/>
          <w:iCs/>
          <w:color w:val="000000"/>
          <w:sz w:val="20"/>
          <w:szCs w:val="20"/>
        </w:rPr>
        <w:t xml:space="preserve">Source : </w:t>
      </w:r>
      <w:hyperlink r:id="rId13" w:history="1">
        <w:r w:rsidR="00757448" w:rsidRPr="00E8524D">
          <w:rPr>
            <w:rStyle w:val="Lienhypertexte"/>
            <w:i/>
            <w:iCs/>
            <w:sz w:val="20"/>
            <w:szCs w:val="20"/>
          </w:rPr>
          <w:t>https://www.horizon-europe.gouv.fr/presentation-du-programme-horizon-europe-24104</w:t>
        </w:r>
      </w:hyperlink>
      <w:r w:rsidR="00757448">
        <w:rPr>
          <w:i/>
          <w:iCs/>
          <w:color w:val="000000"/>
          <w:sz w:val="20"/>
          <w:szCs w:val="20"/>
        </w:rPr>
        <w:t xml:space="preserve"> </w:t>
      </w:r>
    </w:p>
    <w:p w14:paraId="086C525C" w14:textId="6F5D0C05" w:rsidR="007051C1" w:rsidRDefault="007051C1" w:rsidP="00F838CD">
      <w:pPr>
        <w:jc w:val="both"/>
      </w:pPr>
    </w:p>
    <w:p w14:paraId="707D69A4" w14:textId="005FFB25" w:rsidR="00870BD9" w:rsidRDefault="00870BD9" w:rsidP="00870BD9">
      <w:pPr>
        <w:jc w:val="both"/>
      </w:pPr>
      <w:r>
        <w:t>Le pilier 2 est lui</w:t>
      </w:r>
      <w:r w:rsidR="00DC7225">
        <w:t>-</w:t>
      </w:r>
      <w:r>
        <w:t xml:space="preserve">même divisé en 6 « Clusters » (+ un centre européen de la recherche). Ces Clusters sont les grandes thématiques fixées pour 2021-2027. </w:t>
      </w:r>
    </w:p>
    <w:p w14:paraId="469312E7" w14:textId="77777777" w:rsidR="00870BD9" w:rsidRDefault="00870BD9" w:rsidP="00F838CD">
      <w:pPr>
        <w:jc w:val="both"/>
      </w:pPr>
    </w:p>
    <w:p w14:paraId="5FA2FC3F" w14:textId="0C0F6B46" w:rsidR="007051C1" w:rsidRDefault="007051C1" w:rsidP="00F838CD">
      <w:pPr>
        <w:jc w:val="both"/>
      </w:pPr>
      <w:r>
        <w:t xml:space="preserve">Répartition du budget du pilier 2 entre les 6 différents clusters : </w:t>
      </w:r>
    </w:p>
    <w:p w14:paraId="7F58F35F" w14:textId="145DB5EE" w:rsidR="007051C1" w:rsidRDefault="007051C1" w:rsidP="00F838CD">
      <w:pPr>
        <w:jc w:val="both"/>
      </w:pPr>
      <w:r>
        <w:rPr>
          <w:b/>
          <w:bCs/>
          <w:noProof/>
        </w:rPr>
        <w:lastRenderedPageBreak/>
        <w:drawing>
          <wp:inline distT="0" distB="0" distL="0" distR="0" wp14:anchorId="6A1929B9" wp14:editId="7FC623EC">
            <wp:extent cx="6210935" cy="417449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4">
                      <a:extLst>
                        <a:ext uri="{28A0092B-C50C-407E-A947-70E740481C1C}">
                          <a14:useLocalDpi xmlns:a14="http://schemas.microsoft.com/office/drawing/2010/main" val="0"/>
                        </a:ext>
                      </a:extLst>
                    </a:blip>
                    <a:stretch>
                      <a:fillRect/>
                    </a:stretch>
                  </pic:blipFill>
                  <pic:spPr>
                    <a:xfrm>
                      <a:off x="0" y="0"/>
                      <a:ext cx="6210935" cy="4174490"/>
                    </a:xfrm>
                    <a:prstGeom prst="rect">
                      <a:avLst/>
                    </a:prstGeom>
                  </pic:spPr>
                </pic:pic>
              </a:graphicData>
            </a:graphic>
          </wp:inline>
        </w:drawing>
      </w:r>
    </w:p>
    <w:p w14:paraId="50AED0E4" w14:textId="239EFFA7" w:rsidR="00211C1C" w:rsidRPr="00C8309E" w:rsidRDefault="00211C1C" w:rsidP="00211C1C">
      <w:pPr>
        <w:jc w:val="both"/>
        <w:rPr>
          <w:i/>
          <w:iCs/>
          <w:sz w:val="20"/>
          <w:szCs w:val="20"/>
        </w:rPr>
      </w:pPr>
      <w:r w:rsidRPr="00C8309E">
        <w:rPr>
          <w:i/>
          <w:iCs/>
          <w:sz w:val="20"/>
          <w:szCs w:val="20"/>
        </w:rPr>
        <w:t xml:space="preserve">Source : </w:t>
      </w:r>
      <w:hyperlink r:id="rId15" w:history="1">
        <w:r w:rsidR="00DC7225" w:rsidRPr="00DB6F31">
          <w:rPr>
            <w:rStyle w:val="Lienhypertexte"/>
            <w:i/>
            <w:iCs/>
            <w:sz w:val="20"/>
            <w:szCs w:val="20"/>
          </w:rPr>
          <w:t>https://www.horizon-europe.gouv.fr/sites/default/files/2021-02/horizon-europe---pr-sentation-2551.pdf</w:t>
        </w:r>
      </w:hyperlink>
      <w:r w:rsidR="00DC7225">
        <w:rPr>
          <w:i/>
          <w:iCs/>
          <w:sz w:val="20"/>
          <w:szCs w:val="20"/>
        </w:rPr>
        <w:t xml:space="preserve"> </w:t>
      </w:r>
    </w:p>
    <w:p w14:paraId="07809191" w14:textId="7D326226" w:rsidR="00211C1C" w:rsidRDefault="00211C1C" w:rsidP="00F838CD">
      <w:pPr>
        <w:jc w:val="both"/>
      </w:pPr>
    </w:p>
    <w:p w14:paraId="10EC565A" w14:textId="55B97703" w:rsidR="00363139" w:rsidRDefault="00363139" w:rsidP="00F838CD">
      <w:pPr>
        <w:jc w:val="both"/>
      </w:pPr>
    </w:p>
    <w:p w14:paraId="47179065" w14:textId="77777777" w:rsidR="00363139" w:rsidRDefault="00363139" w:rsidP="00F838CD">
      <w:pPr>
        <w:jc w:val="both"/>
      </w:pPr>
    </w:p>
    <w:p w14:paraId="54A555CF" w14:textId="77777777" w:rsidR="00870BD9" w:rsidRDefault="00870BD9" w:rsidP="00870BD9">
      <w:pPr>
        <w:jc w:val="both"/>
      </w:pPr>
      <w:r>
        <w:t>Chacun de ces clusters comprend lui-même plusieurs « Destinations », qui sont des thématiques plus précises que l’Union européenne a jugé prioritaires, et qui seront les thématiques suivies par les appels à projet pour toute la durée du programme également.</w:t>
      </w:r>
    </w:p>
    <w:p w14:paraId="65D9DAB6" w14:textId="77777777" w:rsidR="00870BD9" w:rsidRDefault="00870BD9" w:rsidP="00870BD9">
      <w:pPr>
        <w:jc w:val="both"/>
      </w:pPr>
    </w:p>
    <w:p w14:paraId="71A86343" w14:textId="77777777" w:rsidR="00870BD9" w:rsidRDefault="00870BD9" w:rsidP="00870BD9">
      <w:pPr>
        <w:jc w:val="both"/>
      </w:pPr>
      <w:r>
        <w:t>Les appels à projet sont la dernière déclinaison : ils portent sur des sujets très précis, et chaque appel précise alors :</w:t>
      </w:r>
    </w:p>
    <w:p w14:paraId="19A48CAC" w14:textId="77777777" w:rsidR="00870BD9" w:rsidRDefault="00870BD9" w:rsidP="00870BD9">
      <w:pPr>
        <w:pStyle w:val="Paragraphedeliste"/>
        <w:numPr>
          <w:ilvl w:val="0"/>
          <w:numId w:val="29"/>
        </w:numPr>
        <w:jc w:val="both"/>
      </w:pPr>
      <w:proofErr w:type="gramStart"/>
      <w:r>
        <w:t>le</w:t>
      </w:r>
      <w:proofErr w:type="gramEnd"/>
      <w:r>
        <w:t xml:space="preserve"> sujet de l’appel</w:t>
      </w:r>
    </w:p>
    <w:p w14:paraId="6DA818F4" w14:textId="77777777" w:rsidR="00870BD9" w:rsidRDefault="00870BD9" w:rsidP="00870BD9">
      <w:pPr>
        <w:pStyle w:val="Paragraphedeliste"/>
        <w:numPr>
          <w:ilvl w:val="0"/>
          <w:numId w:val="29"/>
        </w:numPr>
        <w:jc w:val="both"/>
      </w:pPr>
      <w:proofErr w:type="gramStart"/>
      <w:r>
        <w:t>le</w:t>
      </w:r>
      <w:proofErr w:type="gramEnd"/>
      <w:r>
        <w:t xml:space="preserve"> type d’action (et donc les règles de partenariat, de budget, de TRL, etc. – </w:t>
      </w:r>
      <w:proofErr w:type="spellStart"/>
      <w:r>
        <w:t>cf</w:t>
      </w:r>
      <w:proofErr w:type="spellEnd"/>
      <w:r>
        <w:t xml:space="preserve"> section suivante sur les types de projets éligibles)</w:t>
      </w:r>
    </w:p>
    <w:p w14:paraId="1404543A" w14:textId="77777777" w:rsidR="00870BD9" w:rsidRDefault="00870BD9" w:rsidP="00870BD9">
      <w:pPr>
        <w:pStyle w:val="Paragraphedeliste"/>
        <w:numPr>
          <w:ilvl w:val="0"/>
          <w:numId w:val="29"/>
        </w:numPr>
        <w:jc w:val="both"/>
      </w:pPr>
      <w:proofErr w:type="gramStart"/>
      <w:r>
        <w:t>la</w:t>
      </w:r>
      <w:proofErr w:type="gramEnd"/>
      <w:r>
        <w:t xml:space="preserve"> date d’ouverture de l’appel</w:t>
      </w:r>
    </w:p>
    <w:p w14:paraId="0DDBB26B" w14:textId="77777777" w:rsidR="00870BD9" w:rsidRDefault="00870BD9" w:rsidP="00870BD9">
      <w:pPr>
        <w:pStyle w:val="Paragraphedeliste"/>
        <w:numPr>
          <w:ilvl w:val="0"/>
          <w:numId w:val="29"/>
        </w:numPr>
        <w:jc w:val="both"/>
      </w:pPr>
      <w:proofErr w:type="gramStart"/>
      <w:r>
        <w:t>la</w:t>
      </w:r>
      <w:proofErr w:type="gramEnd"/>
      <w:r>
        <w:t xml:space="preserve"> date limite de dépôt</w:t>
      </w:r>
    </w:p>
    <w:p w14:paraId="73787069" w14:textId="7462D03D" w:rsidR="00870BD9" w:rsidRDefault="00870BD9" w:rsidP="00870BD9">
      <w:pPr>
        <w:pStyle w:val="Paragraphedeliste"/>
        <w:numPr>
          <w:ilvl w:val="0"/>
          <w:numId w:val="29"/>
        </w:numPr>
        <w:jc w:val="both"/>
      </w:pPr>
      <w:proofErr w:type="gramStart"/>
      <w:r>
        <w:t>si</w:t>
      </w:r>
      <w:proofErr w:type="gramEnd"/>
      <w:r>
        <w:t xml:space="preserve"> l’appel est en une ou deux étapes</w:t>
      </w:r>
    </w:p>
    <w:p w14:paraId="3319FE0F" w14:textId="77777777" w:rsidR="00870BD9" w:rsidRDefault="00870BD9" w:rsidP="00F838CD">
      <w:pPr>
        <w:jc w:val="both"/>
      </w:pPr>
    </w:p>
    <w:p w14:paraId="123209F8" w14:textId="25C27EB7" w:rsidR="00211C1C" w:rsidRDefault="00870BD9" w:rsidP="00F838CD">
      <w:pPr>
        <w:jc w:val="both"/>
      </w:pPr>
      <w:r>
        <w:t>Pour des exemples précis</w:t>
      </w:r>
      <w:r w:rsidR="00DC7225">
        <w:t>,</w:t>
      </w:r>
      <w:r>
        <w:t xml:space="preserve"> voir les fiches spécifiques par Cluster.</w:t>
      </w:r>
    </w:p>
    <w:p w14:paraId="57A242AE" w14:textId="06E4E9FA" w:rsidR="00211C1C" w:rsidRDefault="00211C1C" w:rsidP="00F838CD">
      <w:pPr>
        <w:jc w:val="both"/>
      </w:pPr>
    </w:p>
    <w:p w14:paraId="40C52395" w14:textId="23E338C4" w:rsidR="007051C1" w:rsidRPr="00870BD9" w:rsidRDefault="00870BD9" w:rsidP="00F838CD">
      <w:pPr>
        <w:jc w:val="both"/>
      </w:pPr>
      <w:r w:rsidRPr="00870BD9">
        <w:t>L’infrastructure du programme Horizon Europe est donc la suivante</w:t>
      </w:r>
      <w:r>
        <w:t xml:space="preserve"> pour le pilier 2</w:t>
      </w:r>
      <w:r w:rsidRPr="00870BD9">
        <w:t> :</w:t>
      </w:r>
    </w:p>
    <w:p w14:paraId="268C9DC0" w14:textId="36325973" w:rsidR="00870BD9" w:rsidRDefault="00870BD9" w:rsidP="00F838CD">
      <w:pPr>
        <w:jc w:val="both"/>
      </w:pPr>
    </w:p>
    <w:p w14:paraId="449E643F" w14:textId="1C94721F" w:rsidR="00870BD9" w:rsidRPr="00D958C0" w:rsidRDefault="00870BD9" w:rsidP="00D958C0">
      <w:pPr>
        <w:jc w:val="both"/>
        <w:rPr>
          <w:b/>
          <w:bCs/>
        </w:rPr>
      </w:pPr>
      <w:r w:rsidRPr="00D958C0">
        <w:rPr>
          <w:b/>
          <w:bCs/>
        </w:rPr>
        <w:t>Programme</w:t>
      </w:r>
    </w:p>
    <w:p w14:paraId="05EAD639" w14:textId="0518048E" w:rsidR="00870BD9" w:rsidRDefault="00870BD9" w:rsidP="00870BD9">
      <w:pPr>
        <w:pStyle w:val="Paragraphedeliste"/>
        <w:numPr>
          <w:ilvl w:val="0"/>
          <w:numId w:val="30"/>
        </w:numPr>
        <w:jc w:val="both"/>
      </w:pPr>
      <w:r>
        <w:t>Pilier</w:t>
      </w:r>
    </w:p>
    <w:p w14:paraId="0573773C" w14:textId="593C0CB7" w:rsidR="00870BD9" w:rsidRDefault="00870BD9" w:rsidP="00870BD9">
      <w:pPr>
        <w:pStyle w:val="Paragraphedeliste"/>
        <w:numPr>
          <w:ilvl w:val="1"/>
          <w:numId w:val="30"/>
        </w:numPr>
        <w:jc w:val="both"/>
      </w:pPr>
      <w:r>
        <w:t>Cluster</w:t>
      </w:r>
    </w:p>
    <w:p w14:paraId="6FC09B0D" w14:textId="2D5D6B35" w:rsidR="00870BD9" w:rsidRDefault="00870BD9" w:rsidP="00870BD9">
      <w:pPr>
        <w:pStyle w:val="Paragraphedeliste"/>
        <w:numPr>
          <w:ilvl w:val="2"/>
          <w:numId w:val="30"/>
        </w:numPr>
        <w:jc w:val="both"/>
      </w:pPr>
      <w:r>
        <w:t>Destination</w:t>
      </w:r>
    </w:p>
    <w:p w14:paraId="73E68F0A" w14:textId="52CBC7B8" w:rsidR="00870BD9" w:rsidRPr="00870BD9" w:rsidRDefault="00870BD9" w:rsidP="00870BD9">
      <w:pPr>
        <w:pStyle w:val="Paragraphedeliste"/>
        <w:numPr>
          <w:ilvl w:val="3"/>
          <w:numId w:val="30"/>
        </w:numPr>
        <w:jc w:val="both"/>
      </w:pPr>
      <w:r>
        <w:t>Appel à projet</w:t>
      </w:r>
    </w:p>
    <w:p w14:paraId="151D52E3" w14:textId="77777777" w:rsidR="00C8309E" w:rsidRDefault="00C8309E" w:rsidP="00F838CD">
      <w:pPr>
        <w:jc w:val="both"/>
        <w:rPr>
          <w:b/>
          <w:bCs/>
        </w:rPr>
      </w:pPr>
    </w:p>
    <w:p w14:paraId="3344273E" w14:textId="39EC25CC" w:rsidR="0067672C" w:rsidRDefault="008F7158" w:rsidP="00F838CD">
      <w:pPr>
        <w:jc w:val="both"/>
      </w:pPr>
      <w:r w:rsidRPr="007A683C">
        <w:rPr>
          <w:b/>
          <w:bCs/>
        </w:rPr>
        <w:lastRenderedPageBreak/>
        <w:t>Grandes modifications connues par rapport à 2014-2020</w:t>
      </w:r>
      <w:r w:rsidR="00F838CD">
        <w:t xml:space="preserve"> : </w:t>
      </w:r>
    </w:p>
    <w:p w14:paraId="777A6126" w14:textId="4D761869" w:rsidR="0067672C" w:rsidRDefault="0067672C" w:rsidP="0067672C">
      <w:pPr>
        <w:pStyle w:val="Paragraphedeliste"/>
        <w:numPr>
          <w:ilvl w:val="0"/>
          <w:numId w:val="10"/>
        </w:numPr>
        <w:jc w:val="both"/>
      </w:pPr>
      <w:r>
        <w:t>D</w:t>
      </w:r>
      <w:r w:rsidR="00F838CD">
        <w:t xml:space="preserve">ans les grandes lignes le programme conserve sa structure. </w:t>
      </w:r>
    </w:p>
    <w:p w14:paraId="46935E78" w14:textId="4400D82D" w:rsidR="00037BCA" w:rsidRDefault="00037BCA" w:rsidP="0067672C">
      <w:pPr>
        <w:pStyle w:val="Paragraphedeliste"/>
        <w:numPr>
          <w:ilvl w:val="0"/>
          <w:numId w:val="10"/>
        </w:numPr>
        <w:jc w:val="both"/>
      </w:pPr>
      <w:r>
        <w:t xml:space="preserve">Augmentation du budget </w:t>
      </w:r>
      <w:r w:rsidR="00CE1055">
        <w:t xml:space="preserve">global pour le porter à </w:t>
      </w:r>
      <w:r w:rsidR="00CE1055" w:rsidRPr="00CE1055">
        <w:t>95,5 milliards</w:t>
      </w:r>
    </w:p>
    <w:p w14:paraId="03EC8307" w14:textId="066CAD8B" w:rsidR="009407B7" w:rsidRPr="009407B7" w:rsidRDefault="00F838CD" w:rsidP="009407B7">
      <w:pPr>
        <w:pStyle w:val="Paragraphedeliste"/>
        <w:numPr>
          <w:ilvl w:val="0"/>
          <w:numId w:val="10"/>
        </w:numPr>
        <w:jc w:val="both"/>
        <w:rPr>
          <w:color w:val="000000"/>
        </w:rPr>
      </w:pPr>
      <w:r>
        <w:t>Pour 2021-2027 le programme est également composé de 5 missions thématiques</w:t>
      </w:r>
      <w:r w:rsidR="009407B7">
        <w:t xml:space="preserve"> (Adaptation au changement climatique ; Santé des océans, des mers et des eaux côtières ; Cancer ; Villes intelligentes et neutres en carbone ; Santé des sols et alimentation)</w:t>
      </w:r>
      <w:r>
        <w:t xml:space="preserve"> et de 49 partenariats de recherche thématiques (cofinancés avec des agences de recherche).</w:t>
      </w:r>
      <w:r w:rsidR="001E124C">
        <w:t xml:space="preserve"> </w:t>
      </w:r>
    </w:p>
    <w:p w14:paraId="73C0D16C" w14:textId="414EC720" w:rsidR="00F838CD" w:rsidRPr="001307F4" w:rsidRDefault="001E124C" w:rsidP="0067672C">
      <w:pPr>
        <w:pStyle w:val="Paragraphedeliste"/>
        <w:numPr>
          <w:ilvl w:val="0"/>
          <w:numId w:val="10"/>
        </w:numPr>
        <w:jc w:val="both"/>
        <w:rPr>
          <w:color w:val="000000"/>
        </w:rPr>
      </w:pPr>
      <w:r>
        <w:t>Le Conseil Européen pour l’Innovation (EIC) testé depuis 2018 est validé et inclu</w:t>
      </w:r>
      <w:r w:rsidR="00D458D9">
        <w:t>s définitivement</w:t>
      </w:r>
      <w:r>
        <w:t xml:space="preserve"> dans le pilier 3, et va dédier 70% de son budget aux PME pour le développement de technologie de rupture et leur entrée sur le marché.</w:t>
      </w:r>
    </w:p>
    <w:p w14:paraId="0000001C" w14:textId="77777777" w:rsidR="00CC781C" w:rsidRDefault="008F7158">
      <w:pPr>
        <w:pStyle w:val="Titre1"/>
        <w:ind w:firstLine="360"/>
      </w:pPr>
      <w:r>
        <w:t>Types de projets éligibles</w:t>
      </w:r>
    </w:p>
    <w:p w14:paraId="0000001D" w14:textId="77777777" w:rsidR="00CC781C" w:rsidRDefault="00CC781C">
      <w:pPr>
        <w:tabs>
          <w:tab w:val="left" w:pos="1307"/>
        </w:tabs>
        <w:jc w:val="both"/>
      </w:pPr>
    </w:p>
    <w:p w14:paraId="047593FC" w14:textId="6E0B5884" w:rsidR="004E634A" w:rsidRPr="004E634A" w:rsidRDefault="00DD7154" w:rsidP="004E634A">
      <w:pPr>
        <w:numPr>
          <w:ilvl w:val="0"/>
          <w:numId w:val="1"/>
        </w:numPr>
        <w:pBdr>
          <w:top w:val="nil"/>
          <w:left w:val="nil"/>
          <w:bottom w:val="nil"/>
          <w:right w:val="nil"/>
          <w:between w:val="nil"/>
        </w:pBdr>
        <w:tabs>
          <w:tab w:val="left" w:pos="1307"/>
        </w:tabs>
        <w:jc w:val="both"/>
      </w:pPr>
      <w:r>
        <w:rPr>
          <w:color w:val="000000"/>
        </w:rPr>
        <w:t xml:space="preserve">Le programme </w:t>
      </w:r>
      <w:r w:rsidR="001B0D68">
        <w:rPr>
          <w:color w:val="000000"/>
        </w:rPr>
        <w:t xml:space="preserve">Horizon Europe </w:t>
      </w:r>
      <w:r>
        <w:rPr>
          <w:color w:val="000000"/>
        </w:rPr>
        <w:t xml:space="preserve">finance </w:t>
      </w:r>
      <w:r w:rsidR="007D7F68">
        <w:rPr>
          <w:color w:val="000000"/>
        </w:rPr>
        <w:t>différents types de projet</w:t>
      </w:r>
      <w:r w:rsidR="00DC7225">
        <w:rPr>
          <w:color w:val="000000"/>
        </w:rPr>
        <w:t>s</w:t>
      </w:r>
      <w:r w:rsidR="007D7F68">
        <w:rPr>
          <w:color w:val="000000"/>
        </w:rPr>
        <w:t>, appelés « Actions »</w:t>
      </w:r>
      <w:r w:rsidR="001B0D68">
        <w:rPr>
          <w:color w:val="000000"/>
        </w:rPr>
        <w:t xml:space="preserve">. </w:t>
      </w:r>
      <w:r w:rsidR="001B0D68" w:rsidRPr="00330D04">
        <w:rPr>
          <w:b/>
          <w:bCs/>
          <w:color w:val="000000"/>
        </w:rPr>
        <w:t>Chaque appel à projet</w:t>
      </w:r>
      <w:r w:rsidR="00363139">
        <w:rPr>
          <w:b/>
          <w:bCs/>
          <w:color w:val="000000"/>
        </w:rPr>
        <w:t>s</w:t>
      </w:r>
      <w:r w:rsidR="001B0D68" w:rsidRPr="00330D04">
        <w:rPr>
          <w:b/>
          <w:bCs/>
          <w:color w:val="000000"/>
        </w:rPr>
        <w:t xml:space="preserve"> spécifie dans quelle catégorie doivent se trouver les projets sélectionnés</w:t>
      </w:r>
      <w:r w:rsidR="001B0D68">
        <w:rPr>
          <w:color w:val="000000"/>
        </w:rPr>
        <w:t xml:space="preserve">. </w:t>
      </w:r>
      <w:r w:rsidR="004E634A">
        <w:rPr>
          <w:color w:val="000000"/>
        </w:rPr>
        <w:t>Par exemple, dans la capture d’écran suivante, certains appels à projet requièrent des projets RIA, CSA ou encore COFUND.</w:t>
      </w:r>
    </w:p>
    <w:p w14:paraId="0C911A7E" w14:textId="1644164D" w:rsidR="004E634A" w:rsidRDefault="004E634A" w:rsidP="004E634A">
      <w:pPr>
        <w:pBdr>
          <w:top w:val="nil"/>
          <w:left w:val="nil"/>
          <w:bottom w:val="nil"/>
          <w:right w:val="nil"/>
          <w:between w:val="nil"/>
        </w:pBdr>
        <w:tabs>
          <w:tab w:val="left" w:pos="1307"/>
        </w:tabs>
        <w:jc w:val="both"/>
        <w:rPr>
          <w:color w:val="000000"/>
        </w:rPr>
      </w:pPr>
    </w:p>
    <w:p w14:paraId="4D183C32" w14:textId="1F5AB313" w:rsidR="004E634A" w:rsidRDefault="004E634A" w:rsidP="004E634A">
      <w:pPr>
        <w:pBdr>
          <w:top w:val="nil"/>
          <w:left w:val="nil"/>
          <w:bottom w:val="nil"/>
          <w:right w:val="nil"/>
          <w:between w:val="nil"/>
        </w:pBdr>
        <w:tabs>
          <w:tab w:val="left" w:pos="1307"/>
        </w:tabs>
        <w:jc w:val="both"/>
      </w:pPr>
      <w:r>
        <w:rPr>
          <w:noProof/>
        </w:rPr>
        <w:drawing>
          <wp:inline distT="0" distB="0" distL="0" distR="0" wp14:anchorId="75949B2B" wp14:editId="769AE4A7">
            <wp:extent cx="6210935" cy="1240403"/>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6">
                      <a:extLst>
                        <a:ext uri="{28A0092B-C50C-407E-A947-70E740481C1C}">
                          <a14:useLocalDpi xmlns:a14="http://schemas.microsoft.com/office/drawing/2010/main" val="0"/>
                        </a:ext>
                      </a:extLst>
                    </a:blip>
                    <a:stretch>
                      <a:fillRect/>
                    </a:stretch>
                  </pic:blipFill>
                  <pic:spPr>
                    <a:xfrm>
                      <a:off x="0" y="0"/>
                      <a:ext cx="6222123" cy="1242637"/>
                    </a:xfrm>
                    <a:prstGeom prst="rect">
                      <a:avLst/>
                    </a:prstGeom>
                  </pic:spPr>
                </pic:pic>
              </a:graphicData>
            </a:graphic>
          </wp:inline>
        </w:drawing>
      </w:r>
    </w:p>
    <w:p w14:paraId="6788284C" w14:textId="77777777" w:rsidR="004E634A" w:rsidRDefault="004E634A" w:rsidP="004E634A">
      <w:pPr>
        <w:pBdr>
          <w:top w:val="nil"/>
          <w:left w:val="nil"/>
          <w:bottom w:val="nil"/>
          <w:right w:val="nil"/>
          <w:between w:val="nil"/>
        </w:pBdr>
        <w:tabs>
          <w:tab w:val="left" w:pos="1307"/>
        </w:tabs>
        <w:jc w:val="both"/>
      </w:pPr>
    </w:p>
    <w:p w14:paraId="7488C220" w14:textId="77777777" w:rsidR="004E634A" w:rsidRDefault="004E634A" w:rsidP="004E634A">
      <w:pPr>
        <w:pBdr>
          <w:top w:val="nil"/>
          <w:left w:val="nil"/>
          <w:bottom w:val="nil"/>
          <w:right w:val="nil"/>
          <w:between w:val="nil"/>
        </w:pBdr>
        <w:tabs>
          <w:tab w:val="left" w:pos="1307"/>
        </w:tabs>
        <w:jc w:val="both"/>
      </w:pPr>
    </w:p>
    <w:p w14:paraId="29CF3DE0" w14:textId="7D93E6A7" w:rsidR="007D7F68" w:rsidRPr="007D7F68" w:rsidRDefault="001B0D68" w:rsidP="004E634A">
      <w:pPr>
        <w:pBdr>
          <w:top w:val="nil"/>
          <w:left w:val="nil"/>
          <w:bottom w:val="nil"/>
          <w:right w:val="nil"/>
          <w:between w:val="nil"/>
        </w:pBdr>
        <w:tabs>
          <w:tab w:val="left" w:pos="1307"/>
        </w:tabs>
        <w:jc w:val="both"/>
      </w:pPr>
      <w:r w:rsidRPr="004E634A">
        <w:rPr>
          <w:color w:val="000000"/>
        </w:rPr>
        <w:t>Les types de projets</w:t>
      </w:r>
      <w:r w:rsidR="006A08D8">
        <w:rPr>
          <w:color w:val="000000"/>
        </w:rPr>
        <w:t xml:space="preserve"> ou d’instruments de financement</w:t>
      </w:r>
      <w:r w:rsidRPr="004E634A">
        <w:rPr>
          <w:color w:val="000000"/>
        </w:rPr>
        <w:t xml:space="preserve"> </w:t>
      </w:r>
      <w:r w:rsidR="00EC0285">
        <w:rPr>
          <w:color w:val="000000"/>
        </w:rPr>
        <w:t xml:space="preserve">possibles </w:t>
      </w:r>
      <w:r w:rsidRPr="004E634A">
        <w:rPr>
          <w:color w:val="000000"/>
        </w:rPr>
        <w:t>sont les suivants</w:t>
      </w:r>
      <w:r w:rsidR="00EC0285">
        <w:rPr>
          <w:color w:val="000000"/>
        </w:rPr>
        <w:t> :</w:t>
      </w:r>
    </w:p>
    <w:p w14:paraId="00FB36DD" w14:textId="6A306DA4" w:rsidR="00915DA6" w:rsidRDefault="00915DA6" w:rsidP="00915DA6">
      <w:pPr>
        <w:pBdr>
          <w:top w:val="nil"/>
          <w:left w:val="nil"/>
          <w:bottom w:val="nil"/>
          <w:right w:val="nil"/>
          <w:between w:val="nil"/>
        </w:pBdr>
        <w:tabs>
          <w:tab w:val="left" w:pos="1307"/>
        </w:tabs>
        <w:jc w:val="both"/>
        <w:rPr>
          <w:color w:val="000000"/>
        </w:rPr>
      </w:pPr>
    </w:p>
    <w:p w14:paraId="0F07F8B7" w14:textId="22950319" w:rsidR="006A08D8" w:rsidRDefault="006A08D8" w:rsidP="006A08D8">
      <w:pPr>
        <w:pBdr>
          <w:top w:val="nil"/>
          <w:left w:val="nil"/>
          <w:bottom w:val="nil"/>
          <w:right w:val="nil"/>
          <w:between w:val="nil"/>
        </w:pBdr>
        <w:tabs>
          <w:tab w:val="left" w:pos="1307"/>
        </w:tabs>
        <w:jc w:val="both"/>
        <w:rPr>
          <w:color w:val="000000"/>
        </w:rPr>
      </w:pPr>
      <w:r w:rsidRPr="00207C37">
        <w:rPr>
          <w:b/>
          <w:bCs/>
          <w:color w:val="000000"/>
        </w:rPr>
        <w:t>Action</w:t>
      </w:r>
      <w:r>
        <w:rPr>
          <w:b/>
          <w:bCs/>
          <w:color w:val="000000"/>
        </w:rPr>
        <w:t>s</w:t>
      </w:r>
      <w:r w:rsidR="0094333E">
        <w:rPr>
          <w:b/>
          <w:bCs/>
          <w:color w:val="000000"/>
        </w:rPr>
        <w:t xml:space="preserve"> et instruments</w:t>
      </w:r>
      <w:r w:rsidRPr="00207C37">
        <w:rPr>
          <w:b/>
          <w:bCs/>
          <w:color w:val="000000"/>
        </w:rPr>
        <w:t xml:space="preserve"> spécifique</w:t>
      </w:r>
      <w:r>
        <w:rPr>
          <w:b/>
          <w:bCs/>
          <w:color w:val="000000"/>
        </w:rPr>
        <w:t>s</w:t>
      </w:r>
      <w:r w:rsidRPr="00207C37">
        <w:rPr>
          <w:b/>
          <w:bCs/>
          <w:color w:val="000000"/>
        </w:rPr>
        <w:t xml:space="preserve"> au 1</w:t>
      </w:r>
      <w:r w:rsidRPr="00207C37">
        <w:rPr>
          <w:b/>
          <w:bCs/>
          <w:color w:val="000000"/>
          <w:vertAlign w:val="superscript"/>
        </w:rPr>
        <w:t>er</w:t>
      </w:r>
      <w:r w:rsidRPr="00207C37">
        <w:rPr>
          <w:b/>
          <w:bCs/>
          <w:color w:val="000000"/>
        </w:rPr>
        <w:t xml:space="preserve"> pilier</w:t>
      </w:r>
      <w:r>
        <w:rPr>
          <w:color w:val="000000"/>
        </w:rPr>
        <w:t> :</w:t>
      </w:r>
    </w:p>
    <w:p w14:paraId="3FDD47FE" w14:textId="77777777" w:rsidR="006A08D8" w:rsidRDefault="006A08D8" w:rsidP="006A08D8">
      <w:pPr>
        <w:pStyle w:val="Paragraphedeliste"/>
        <w:numPr>
          <w:ilvl w:val="0"/>
          <w:numId w:val="24"/>
        </w:numPr>
        <w:pBdr>
          <w:top w:val="nil"/>
          <w:left w:val="nil"/>
          <w:bottom w:val="nil"/>
          <w:right w:val="nil"/>
          <w:between w:val="nil"/>
        </w:pBdr>
        <w:tabs>
          <w:tab w:val="left" w:pos="1307"/>
        </w:tabs>
        <w:jc w:val="both"/>
      </w:pPr>
      <w:r>
        <w:t>Actions Marie Skodowska-Curie</w:t>
      </w:r>
    </w:p>
    <w:p w14:paraId="271FA800" w14:textId="77777777" w:rsidR="006A08D8" w:rsidRDefault="006A08D8" w:rsidP="006A08D8">
      <w:pPr>
        <w:pStyle w:val="Paragraphedeliste"/>
        <w:numPr>
          <w:ilvl w:val="0"/>
          <w:numId w:val="24"/>
        </w:numPr>
        <w:pBdr>
          <w:top w:val="nil"/>
          <w:left w:val="nil"/>
          <w:bottom w:val="nil"/>
          <w:right w:val="nil"/>
          <w:between w:val="nil"/>
        </w:pBdr>
        <w:tabs>
          <w:tab w:val="left" w:pos="1307"/>
        </w:tabs>
        <w:jc w:val="both"/>
      </w:pPr>
      <w:r>
        <w:t>ERC (</w:t>
      </w:r>
      <w:proofErr w:type="spellStart"/>
      <w:r>
        <w:t>European</w:t>
      </w:r>
      <w:proofErr w:type="spellEnd"/>
      <w:r>
        <w:t xml:space="preserve"> </w:t>
      </w:r>
      <w:proofErr w:type="spellStart"/>
      <w:r>
        <w:t>Research</w:t>
      </w:r>
      <w:proofErr w:type="spellEnd"/>
      <w:r>
        <w:t xml:space="preserve"> Council)</w:t>
      </w:r>
    </w:p>
    <w:p w14:paraId="047CE1D8" w14:textId="77777777" w:rsidR="006A08D8" w:rsidRDefault="006A08D8" w:rsidP="006A08D8">
      <w:pPr>
        <w:pBdr>
          <w:top w:val="nil"/>
          <w:left w:val="nil"/>
          <w:bottom w:val="nil"/>
          <w:right w:val="nil"/>
          <w:between w:val="nil"/>
        </w:pBdr>
        <w:tabs>
          <w:tab w:val="left" w:pos="1307"/>
        </w:tabs>
        <w:jc w:val="both"/>
        <w:rPr>
          <w:color w:val="000000"/>
        </w:rPr>
      </w:pPr>
    </w:p>
    <w:p w14:paraId="45F0C6C7" w14:textId="77777777" w:rsidR="006A08D8" w:rsidRDefault="006A08D8" w:rsidP="006A08D8">
      <w:pPr>
        <w:pBdr>
          <w:top w:val="nil"/>
          <w:left w:val="nil"/>
          <w:bottom w:val="nil"/>
          <w:right w:val="nil"/>
          <w:between w:val="nil"/>
        </w:pBdr>
        <w:tabs>
          <w:tab w:val="left" w:pos="1307"/>
        </w:tabs>
        <w:jc w:val="both"/>
        <w:rPr>
          <w:color w:val="000000"/>
        </w:rPr>
      </w:pPr>
      <w:r w:rsidRPr="00207C37">
        <w:rPr>
          <w:b/>
          <w:bCs/>
          <w:color w:val="000000"/>
        </w:rPr>
        <w:t>Actions spécifiques au 2</w:t>
      </w:r>
      <w:r w:rsidRPr="00207C37">
        <w:rPr>
          <w:b/>
          <w:bCs/>
          <w:color w:val="000000"/>
          <w:vertAlign w:val="superscript"/>
        </w:rPr>
        <w:t>e</w:t>
      </w:r>
      <w:r w:rsidRPr="00207C37">
        <w:rPr>
          <w:b/>
          <w:bCs/>
          <w:color w:val="000000"/>
        </w:rPr>
        <w:t xml:space="preserve"> pilier</w:t>
      </w:r>
      <w:r>
        <w:rPr>
          <w:color w:val="000000"/>
        </w:rPr>
        <w:t xml:space="preserve"> : </w:t>
      </w:r>
    </w:p>
    <w:p w14:paraId="410699AF" w14:textId="77777777" w:rsidR="006A08D8" w:rsidRDefault="006A08D8" w:rsidP="006A08D8">
      <w:pPr>
        <w:pStyle w:val="Paragraphedeliste"/>
        <w:numPr>
          <w:ilvl w:val="0"/>
          <w:numId w:val="24"/>
        </w:numPr>
        <w:pBdr>
          <w:top w:val="nil"/>
          <w:left w:val="nil"/>
          <w:bottom w:val="nil"/>
          <w:right w:val="nil"/>
          <w:between w:val="nil"/>
        </w:pBdr>
        <w:tabs>
          <w:tab w:val="left" w:pos="1307"/>
        </w:tabs>
        <w:jc w:val="both"/>
      </w:pPr>
      <w:r>
        <w:t xml:space="preserve">Actions de recherche et d'innovation (RIA- </w:t>
      </w:r>
      <w:proofErr w:type="spellStart"/>
      <w:r>
        <w:t>Research</w:t>
      </w:r>
      <w:proofErr w:type="spellEnd"/>
      <w:r>
        <w:t xml:space="preserve"> Innovation Action)</w:t>
      </w:r>
    </w:p>
    <w:p w14:paraId="35429CCD" w14:textId="77777777" w:rsidR="006A08D8" w:rsidRDefault="006A08D8" w:rsidP="006A08D8">
      <w:pPr>
        <w:pStyle w:val="Paragraphedeliste"/>
        <w:numPr>
          <w:ilvl w:val="0"/>
          <w:numId w:val="24"/>
        </w:numPr>
        <w:pBdr>
          <w:top w:val="nil"/>
          <w:left w:val="nil"/>
          <w:bottom w:val="nil"/>
          <w:right w:val="nil"/>
          <w:between w:val="nil"/>
        </w:pBdr>
        <w:tabs>
          <w:tab w:val="left" w:pos="1307"/>
        </w:tabs>
        <w:jc w:val="both"/>
      </w:pPr>
      <w:r>
        <w:t>Actions d'innovation (IA - Innovation Action)</w:t>
      </w:r>
    </w:p>
    <w:p w14:paraId="57863039" w14:textId="77777777" w:rsidR="006A08D8" w:rsidRDefault="006A08D8" w:rsidP="006A08D8">
      <w:pPr>
        <w:pStyle w:val="Paragraphedeliste"/>
        <w:numPr>
          <w:ilvl w:val="0"/>
          <w:numId w:val="24"/>
        </w:numPr>
        <w:pBdr>
          <w:top w:val="nil"/>
          <w:left w:val="nil"/>
          <w:bottom w:val="nil"/>
          <w:right w:val="nil"/>
          <w:between w:val="nil"/>
        </w:pBdr>
        <w:tabs>
          <w:tab w:val="left" w:pos="1307"/>
        </w:tabs>
        <w:jc w:val="both"/>
      </w:pPr>
      <w:r>
        <w:t>Actions de soutien et de coordination (CSA - Coordination Support Action)</w:t>
      </w:r>
    </w:p>
    <w:p w14:paraId="51F4ED0C" w14:textId="77777777" w:rsidR="006A08D8" w:rsidRDefault="006A08D8" w:rsidP="006A08D8">
      <w:pPr>
        <w:pStyle w:val="Paragraphedeliste"/>
        <w:numPr>
          <w:ilvl w:val="0"/>
          <w:numId w:val="24"/>
        </w:numPr>
        <w:pBdr>
          <w:top w:val="nil"/>
          <w:left w:val="nil"/>
          <w:bottom w:val="nil"/>
          <w:right w:val="nil"/>
          <w:between w:val="nil"/>
        </w:pBdr>
        <w:tabs>
          <w:tab w:val="left" w:pos="1307"/>
        </w:tabs>
        <w:jc w:val="both"/>
      </w:pPr>
      <w:r>
        <w:t>Actions cofinancées (</w:t>
      </w:r>
      <w:proofErr w:type="spellStart"/>
      <w:r>
        <w:t>Cofund</w:t>
      </w:r>
      <w:proofErr w:type="spellEnd"/>
      <w:r>
        <w:t xml:space="preserve"> actions)</w:t>
      </w:r>
    </w:p>
    <w:p w14:paraId="3C36C63E" w14:textId="77777777" w:rsidR="006A08D8" w:rsidRDefault="006A08D8" w:rsidP="006A08D8">
      <w:pPr>
        <w:pBdr>
          <w:top w:val="nil"/>
          <w:left w:val="nil"/>
          <w:bottom w:val="nil"/>
          <w:right w:val="nil"/>
          <w:between w:val="nil"/>
        </w:pBdr>
        <w:tabs>
          <w:tab w:val="left" w:pos="1307"/>
        </w:tabs>
        <w:jc w:val="both"/>
      </w:pPr>
    </w:p>
    <w:p w14:paraId="1C600D0C" w14:textId="516E740F" w:rsidR="006A08D8" w:rsidRDefault="0094333E" w:rsidP="006A08D8">
      <w:pPr>
        <w:pBdr>
          <w:top w:val="nil"/>
          <w:left w:val="nil"/>
          <w:bottom w:val="nil"/>
          <w:right w:val="nil"/>
          <w:between w:val="nil"/>
        </w:pBdr>
        <w:tabs>
          <w:tab w:val="left" w:pos="1307"/>
        </w:tabs>
        <w:jc w:val="both"/>
      </w:pPr>
      <w:r>
        <w:rPr>
          <w:b/>
          <w:bCs/>
        </w:rPr>
        <w:t>Instruments</w:t>
      </w:r>
      <w:r w:rsidR="006A08D8" w:rsidRPr="00207C37">
        <w:rPr>
          <w:b/>
          <w:bCs/>
        </w:rPr>
        <w:t xml:space="preserve"> spécifiques au 3</w:t>
      </w:r>
      <w:r w:rsidR="006A08D8" w:rsidRPr="00207C37">
        <w:rPr>
          <w:b/>
          <w:bCs/>
          <w:vertAlign w:val="superscript"/>
        </w:rPr>
        <w:t>e</w:t>
      </w:r>
      <w:r w:rsidR="006A08D8" w:rsidRPr="00207C37">
        <w:rPr>
          <w:b/>
          <w:bCs/>
        </w:rPr>
        <w:t xml:space="preserve"> pilier</w:t>
      </w:r>
      <w:r w:rsidR="006A08D8">
        <w:t xml:space="preserve"> : </w:t>
      </w:r>
    </w:p>
    <w:p w14:paraId="2BE134A4" w14:textId="77777777" w:rsidR="006A08D8" w:rsidRDefault="006A08D8" w:rsidP="006A08D8">
      <w:pPr>
        <w:pStyle w:val="Paragraphedeliste"/>
        <w:numPr>
          <w:ilvl w:val="0"/>
          <w:numId w:val="24"/>
        </w:numPr>
        <w:pBdr>
          <w:top w:val="nil"/>
          <w:left w:val="nil"/>
          <w:bottom w:val="nil"/>
          <w:right w:val="nil"/>
          <w:between w:val="nil"/>
        </w:pBdr>
        <w:tabs>
          <w:tab w:val="left" w:pos="1307"/>
        </w:tabs>
        <w:jc w:val="both"/>
      </w:pPr>
      <w:r>
        <w:t>Conseil européen pour l’Innovation (EIC)</w:t>
      </w:r>
    </w:p>
    <w:p w14:paraId="36148C49" w14:textId="524EDC60" w:rsidR="009F798D" w:rsidRDefault="009F798D" w:rsidP="009F798D">
      <w:pPr>
        <w:pBdr>
          <w:top w:val="nil"/>
          <w:left w:val="nil"/>
          <w:bottom w:val="nil"/>
          <w:right w:val="nil"/>
          <w:between w:val="nil"/>
        </w:pBdr>
        <w:tabs>
          <w:tab w:val="left" w:pos="1307"/>
        </w:tabs>
        <w:jc w:val="both"/>
      </w:pPr>
    </w:p>
    <w:p w14:paraId="23712F12" w14:textId="53FFDA71" w:rsidR="00C13E80" w:rsidRPr="004E634A" w:rsidRDefault="004E634A" w:rsidP="00C13E80">
      <w:pPr>
        <w:pBdr>
          <w:top w:val="nil"/>
          <w:left w:val="nil"/>
          <w:bottom w:val="nil"/>
          <w:right w:val="nil"/>
          <w:between w:val="nil"/>
        </w:pBdr>
        <w:tabs>
          <w:tab w:val="left" w:pos="1307"/>
        </w:tabs>
        <w:jc w:val="both"/>
      </w:pPr>
      <w:r>
        <w:t xml:space="preserve">Seules les actions liées au second pilier sont décrites </w:t>
      </w:r>
      <w:r w:rsidR="00DC7225">
        <w:t>dans cette fiche</w:t>
      </w:r>
      <w:r>
        <w:t>, p</w:t>
      </w:r>
      <w:r w:rsidR="00C13E80" w:rsidRPr="004E634A">
        <w:t xml:space="preserve">our plus d’information sur les différents types de projets, cliquez </w:t>
      </w:r>
      <w:hyperlink r:id="rId17" w:anchor="action-recherche-innovation" w:history="1">
        <w:r w:rsidR="00C13E80" w:rsidRPr="00DC7225">
          <w:rPr>
            <w:rStyle w:val="Lienhypertexte"/>
          </w:rPr>
          <w:t>ici</w:t>
        </w:r>
      </w:hyperlink>
      <w:r w:rsidR="00DC7225">
        <w:t>.</w:t>
      </w:r>
      <w:r w:rsidR="00C13E80" w:rsidRPr="004E634A">
        <w:rPr>
          <w:i/>
          <w:iCs/>
        </w:rPr>
        <w:t xml:space="preserve"> </w:t>
      </w:r>
    </w:p>
    <w:p w14:paraId="05B06BA5" w14:textId="763184D4" w:rsidR="005B3BAF" w:rsidRDefault="005B3BAF" w:rsidP="00754CB4">
      <w:pPr>
        <w:pBdr>
          <w:top w:val="nil"/>
          <w:left w:val="nil"/>
          <w:bottom w:val="nil"/>
          <w:right w:val="nil"/>
          <w:between w:val="nil"/>
        </w:pBdr>
        <w:tabs>
          <w:tab w:val="left" w:pos="1307"/>
        </w:tabs>
        <w:jc w:val="both"/>
      </w:pPr>
    </w:p>
    <w:p w14:paraId="212DB530" w14:textId="77777777" w:rsidR="0040751C" w:rsidRDefault="0040751C" w:rsidP="002B7BB0">
      <w:pPr>
        <w:pBdr>
          <w:top w:val="nil"/>
          <w:left w:val="nil"/>
          <w:bottom w:val="nil"/>
          <w:right w:val="nil"/>
          <w:between w:val="nil"/>
        </w:pBdr>
        <w:tabs>
          <w:tab w:val="left" w:pos="1307"/>
        </w:tabs>
        <w:jc w:val="both"/>
      </w:pPr>
    </w:p>
    <w:p w14:paraId="2BF461CB" w14:textId="16484E5C" w:rsidR="008926DD" w:rsidRPr="00363139" w:rsidRDefault="008926DD" w:rsidP="00363139">
      <w:pPr>
        <w:pStyle w:val="Paragraphedeliste"/>
        <w:numPr>
          <w:ilvl w:val="0"/>
          <w:numId w:val="26"/>
        </w:numPr>
        <w:jc w:val="both"/>
        <w:rPr>
          <w:b/>
          <w:bCs/>
          <w:lang w:val="en-GB"/>
        </w:rPr>
      </w:pPr>
      <w:r w:rsidRPr="00363139">
        <w:rPr>
          <w:b/>
          <w:bCs/>
          <w:lang w:val="en-GB"/>
        </w:rPr>
        <w:t>Research and Innovation Actions (RIA)</w:t>
      </w:r>
    </w:p>
    <w:p w14:paraId="5958607E" w14:textId="77777777" w:rsidR="008926DD" w:rsidRPr="0040751C" w:rsidRDefault="008926DD" w:rsidP="008926DD">
      <w:pPr>
        <w:pBdr>
          <w:top w:val="nil"/>
          <w:left w:val="nil"/>
          <w:bottom w:val="nil"/>
          <w:right w:val="nil"/>
          <w:between w:val="nil"/>
        </w:pBdr>
        <w:tabs>
          <w:tab w:val="left" w:pos="1307"/>
        </w:tabs>
        <w:jc w:val="both"/>
        <w:rPr>
          <w:color w:val="000000"/>
          <w:lang w:val="en-GB"/>
        </w:rPr>
      </w:pPr>
    </w:p>
    <w:p w14:paraId="2E7AA102" w14:textId="7914E06E" w:rsidR="008926DD" w:rsidRDefault="008926DD" w:rsidP="00FE4914">
      <w:pPr>
        <w:pBdr>
          <w:top w:val="nil"/>
          <w:left w:val="nil"/>
          <w:bottom w:val="nil"/>
          <w:right w:val="nil"/>
          <w:between w:val="nil"/>
        </w:pBdr>
        <w:tabs>
          <w:tab w:val="left" w:pos="1307"/>
        </w:tabs>
        <w:jc w:val="both"/>
      </w:pPr>
      <w:r>
        <w:rPr>
          <w:color w:val="000000"/>
        </w:rPr>
        <w:t xml:space="preserve">Ils </w:t>
      </w:r>
      <w:r>
        <w:t xml:space="preserve">ont pour but </w:t>
      </w:r>
      <w:r w:rsidR="00602329">
        <w:t>d’améliorer,</w:t>
      </w:r>
      <w:r>
        <w:t xml:space="preserve"> d’explorer la faisabilité technique d’une technologie, d’un produit, d’un procédé, d’un service. Ce sont des projets R&amp;D à la maturité technologique plutôt basse (</w:t>
      </w:r>
      <w:r w:rsidR="00A441A4">
        <w:t>Le projet se termine en général sur un TRL 4, 5 ou 6</w:t>
      </w:r>
      <w:r w:rsidR="006A014C">
        <w:t>, cf</w:t>
      </w:r>
      <w:r w:rsidR="003477CE">
        <w:t>.</w:t>
      </w:r>
      <w:r w:rsidR="006A014C">
        <w:t xml:space="preserve"> illustration ci-dessous</w:t>
      </w:r>
      <w:r>
        <w:t xml:space="preserve">). </w:t>
      </w:r>
    </w:p>
    <w:p w14:paraId="317F9E66" w14:textId="59A7FFB8" w:rsidR="008926DD" w:rsidRPr="007D7F68" w:rsidRDefault="008926DD" w:rsidP="00FE4914">
      <w:pPr>
        <w:pStyle w:val="NormalWeb"/>
        <w:spacing w:before="105" w:beforeAutospacing="0" w:after="105" w:afterAutospacing="0"/>
        <w:jc w:val="both"/>
        <w:rPr>
          <w:rFonts w:asciiTheme="majorHAnsi" w:hAnsiTheme="majorHAnsi" w:cstheme="majorHAnsi"/>
          <w:sz w:val="22"/>
          <w:szCs w:val="22"/>
        </w:rPr>
      </w:pPr>
      <w:r w:rsidRPr="007D7F68">
        <w:rPr>
          <w:rFonts w:asciiTheme="majorHAnsi" w:hAnsiTheme="majorHAnsi" w:cstheme="majorHAnsi"/>
          <w:sz w:val="22"/>
          <w:szCs w:val="22"/>
        </w:rPr>
        <w:lastRenderedPageBreak/>
        <w:t xml:space="preserve">Il s’agit de </w:t>
      </w:r>
      <w:r w:rsidRPr="001B0059">
        <w:rPr>
          <w:rFonts w:asciiTheme="majorHAnsi" w:hAnsiTheme="majorHAnsi" w:cstheme="majorHAnsi"/>
          <w:b/>
          <w:bCs/>
          <w:sz w:val="22"/>
          <w:szCs w:val="22"/>
        </w:rPr>
        <w:t>projets collaboratifs</w:t>
      </w:r>
      <w:r w:rsidRPr="007D7F68">
        <w:rPr>
          <w:rFonts w:asciiTheme="majorHAnsi" w:hAnsiTheme="majorHAnsi" w:cstheme="majorHAnsi"/>
          <w:sz w:val="22"/>
          <w:szCs w:val="22"/>
        </w:rPr>
        <w:t xml:space="preserve"> qui consistent principalement en activités visant à établir de nouvelles connaissances</w:t>
      </w:r>
      <w:r w:rsidR="00602329">
        <w:rPr>
          <w:rFonts w:asciiTheme="majorHAnsi" w:hAnsiTheme="majorHAnsi" w:cstheme="majorHAnsi"/>
          <w:sz w:val="22"/>
          <w:szCs w:val="22"/>
        </w:rPr>
        <w:t>.</w:t>
      </w:r>
    </w:p>
    <w:p w14:paraId="07EC6C46" w14:textId="77777777" w:rsidR="008926DD" w:rsidRPr="007D7F68" w:rsidRDefault="008926DD" w:rsidP="00FE4914">
      <w:pPr>
        <w:pStyle w:val="NormalWeb"/>
        <w:spacing w:before="105" w:beforeAutospacing="0" w:after="105" w:afterAutospacing="0"/>
        <w:jc w:val="both"/>
        <w:rPr>
          <w:rFonts w:asciiTheme="majorHAnsi" w:hAnsiTheme="majorHAnsi" w:cstheme="majorHAnsi"/>
          <w:sz w:val="22"/>
          <w:szCs w:val="22"/>
        </w:rPr>
      </w:pPr>
      <w:r w:rsidRPr="007D7F68">
        <w:rPr>
          <w:rFonts w:asciiTheme="majorHAnsi" w:hAnsiTheme="majorHAnsi" w:cstheme="majorHAnsi"/>
          <w:sz w:val="22"/>
          <w:szCs w:val="22"/>
        </w:rPr>
        <w:t>Ces activités peuvent inclure de la recherche fondamentale et appliquée, du développement et de l’intégration de technologie, des essais et la validation d’un prototype à petite échelle dans un laboratoire ou un environnement simulé.</w:t>
      </w:r>
    </w:p>
    <w:p w14:paraId="20CBCD1C" w14:textId="6760C402" w:rsidR="008926DD" w:rsidRDefault="008926DD" w:rsidP="00FE4914">
      <w:pPr>
        <w:pStyle w:val="NormalWeb"/>
        <w:spacing w:before="105" w:beforeAutospacing="0" w:after="105" w:afterAutospacing="0"/>
        <w:jc w:val="both"/>
        <w:rPr>
          <w:rFonts w:asciiTheme="majorHAnsi" w:hAnsiTheme="majorHAnsi" w:cstheme="majorHAnsi"/>
          <w:sz w:val="22"/>
          <w:szCs w:val="22"/>
        </w:rPr>
      </w:pPr>
      <w:r w:rsidRPr="007D7F68">
        <w:rPr>
          <w:rFonts w:asciiTheme="majorHAnsi" w:hAnsiTheme="majorHAnsi" w:cstheme="majorHAnsi"/>
          <w:sz w:val="22"/>
          <w:szCs w:val="22"/>
        </w:rPr>
        <w:t>Les projets peuvent inclure des activités de démonstration ou pilotes directement liées mais limitées et visant à montrer la faisabilité technique dans un environnement presque opérationnel.</w:t>
      </w:r>
    </w:p>
    <w:p w14:paraId="064C6822" w14:textId="059C93EF" w:rsidR="00D94CA1" w:rsidRPr="00D94CA1" w:rsidRDefault="00D94CA1" w:rsidP="00D94CA1">
      <w:pPr>
        <w:jc w:val="both"/>
      </w:pPr>
      <w:r>
        <w:t>Ces projets doivent être portés par un partenariat d’au moins 3 acteurs issus de trois Etats membres ou associés.</w:t>
      </w:r>
    </w:p>
    <w:p w14:paraId="35A4668C" w14:textId="0F023140" w:rsidR="002B7BB0" w:rsidRPr="008926DD" w:rsidRDefault="002B7BB0" w:rsidP="00FE4914">
      <w:pPr>
        <w:pBdr>
          <w:top w:val="nil"/>
          <w:left w:val="nil"/>
          <w:bottom w:val="nil"/>
          <w:right w:val="nil"/>
          <w:between w:val="nil"/>
        </w:pBdr>
        <w:tabs>
          <w:tab w:val="left" w:pos="1307"/>
        </w:tabs>
        <w:jc w:val="both"/>
        <w:rPr>
          <w:rFonts w:asciiTheme="majorHAnsi" w:hAnsiTheme="majorHAnsi" w:cstheme="majorHAnsi"/>
        </w:rPr>
      </w:pPr>
      <w:r>
        <w:t>Le taux de remboursement est de 100% des dépenses éligibles pour des projets d’une durée moyenne de 3 à 5 ans.</w:t>
      </w:r>
      <w:r w:rsidR="00FB6384">
        <w:t xml:space="preserve"> Pas de limitation pour les budgets (sauf si spécifié dans l’appel).</w:t>
      </w:r>
    </w:p>
    <w:p w14:paraId="5FDD3FA0" w14:textId="24135744" w:rsidR="00754CB4" w:rsidRDefault="00754CB4" w:rsidP="00FE4914">
      <w:pPr>
        <w:pBdr>
          <w:top w:val="nil"/>
          <w:left w:val="nil"/>
          <w:bottom w:val="nil"/>
          <w:right w:val="nil"/>
          <w:between w:val="nil"/>
        </w:pBdr>
        <w:tabs>
          <w:tab w:val="left" w:pos="1307"/>
        </w:tabs>
        <w:jc w:val="both"/>
      </w:pPr>
    </w:p>
    <w:p w14:paraId="4685F939" w14:textId="5B320852" w:rsidR="004E634A" w:rsidRPr="004E634A" w:rsidRDefault="004E634A" w:rsidP="00FE4914">
      <w:pPr>
        <w:pStyle w:val="Paragraphedeliste"/>
        <w:numPr>
          <w:ilvl w:val="0"/>
          <w:numId w:val="26"/>
        </w:numPr>
        <w:jc w:val="both"/>
        <w:rPr>
          <w:b/>
          <w:bCs/>
        </w:rPr>
      </w:pPr>
      <w:r w:rsidRPr="004E634A">
        <w:rPr>
          <w:b/>
          <w:bCs/>
        </w:rPr>
        <w:t xml:space="preserve">Actions d’innovation </w:t>
      </w:r>
      <w:r>
        <w:rPr>
          <w:b/>
          <w:bCs/>
        </w:rPr>
        <w:t>(</w:t>
      </w:r>
      <w:r w:rsidRPr="004E634A">
        <w:rPr>
          <w:b/>
          <w:bCs/>
        </w:rPr>
        <w:t>IA</w:t>
      </w:r>
      <w:r>
        <w:rPr>
          <w:b/>
          <w:bCs/>
        </w:rPr>
        <w:t>)</w:t>
      </w:r>
    </w:p>
    <w:p w14:paraId="1CB6CEFC" w14:textId="77777777" w:rsidR="004E634A" w:rsidRDefault="004E634A" w:rsidP="00FE4914">
      <w:pPr>
        <w:jc w:val="both"/>
      </w:pPr>
    </w:p>
    <w:p w14:paraId="4D10AEBE" w14:textId="3FF78AC1" w:rsidR="004E634A" w:rsidRDefault="004E634A" w:rsidP="00FE4914">
      <w:pPr>
        <w:jc w:val="both"/>
      </w:pPr>
      <w:r>
        <w:t>Il s’agit de projets collaboratifs qui consistent principalement en activités visant directement à produire des plans, arrangements ou concepts pour un produit, procédé ou service nouveau ou amélioré. Ces activités peuvent inclure prototypage, essais, démonstration ou pilotes, validation du produit à grande échelle, première commercialisation</w:t>
      </w:r>
      <w:r w:rsidR="00602329">
        <w:t xml:space="preserve"> (le niveau de </w:t>
      </w:r>
      <w:r w:rsidR="00602329" w:rsidRPr="00602329">
        <w:rPr>
          <w:b/>
          <w:bCs/>
        </w:rPr>
        <w:t>TRL est donc plus élevé</w:t>
      </w:r>
      <w:r w:rsidR="00832820">
        <w:rPr>
          <w:b/>
          <w:bCs/>
        </w:rPr>
        <w:t xml:space="preserve"> que pour les RIA</w:t>
      </w:r>
      <w:r w:rsidR="000248C0">
        <w:t>, et les projets se terminent autour des TRL 6 à 9</w:t>
      </w:r>
      <w:r w:rsidR="00602329">
        <w:t>).</w:t>
      </w:r>
    </w:p>
    <w:p w14:paraId="140C9EF8" w14:textId="77777777" w:rsidR="004E634A" w:rsidRDefault="004E634A" w:rsidP="00FE4914">
      <w:pPr>
        <w:jc w:val="both"/>
      </w:pPr>
    </w:p>
    <w:p w14:paraId="433B51CE" w14:textId="0D6380A6" w:rsidR="004E634A" w:rsidRDefault="004E634A" w:rsidP="00FE4914">
      <w:pPr>
        <w:jc w:val="both"/>
      </w:pPr>
      <w:r>
        <w:t>Les projets peuvent inclure des activités limitées de recherche et de développement.</w:t>
      </w:r>
    </w:p>
    <w:p w14:paraId="3D4B10C9" w14:textId="03CFB681" w:rsidR="00D94CA1" w:rsidRDefault="00D94CA1" w:rsidP="00FE4914">
      <w:pPr>
        <w:jc w:val="both"/>
      </w:pPr>
    </w:p>
    <w:p w14:paraId="52993147" w14:textId="18371242" w:rsidR="00D94CA1" w:rsidRDefault="00D94CA1" w:rsidP="00FE4914">
      <w:pPr>
        <w:jc w:val="both"/>
      </w:pPr>
      <w:r>
        <w:t>Ces projets doivent être portés par un partenariat d’au moins 3 acteurs issus de trois Etats membres ou associés.</w:t>
      </w:r>
    </w:p>
    <w:p w14:paraId="6F1923FA" w14:textId="77777777" w:rsidR="004E634A" w:rsidRDefault="004E634A" w:rsidP="00FE4914">
      <w:pPr>
        <w:jc w:val="both"/>
      </w:pPr>
    </w:p>
    <w:p w14:paraId="7649BE00" w14:textId="553ECD99" w:rsidR="004E634A" w:rsidRDefault="004E634A" w:rsidP="00FE4914">
      <w:pPr>
        <w:jc w:val="both"/>
      </w:pPr>
      <w:r>
        <w:t>Taux de financement européen 70% (sauf pour les entités à but non lucratif qui sont financés à 100% de leurs coûts totaux éligibles) et durée habituelle 30-36 mois.</w:t>
      </w:r>
      <w:r w:rsidR="00FC05F3">
        <w:t xml:space="preserve"> Pas de limitation du budget (sauf si spécifié dans l’appel)</w:t>
      </w:r>
    </w:p>
    <w:p w14:paraId="6FE5AB77" w14:textId="77777777" w:rsidR="004E634A" w:rsidRDefault="004E634A" w:rsidP="00FE4914">
      <w:pPr>
        <w:jc w:val="both"/>
      </w:pPr>
    </w:p>
    <w:p w14:paraId="4A4B1294" w14:textId="6F538155" w:rsidR="004E634A" w:rsidRPr="004E634A" w:rsidRDefault="004E634A" w:rsidP="00FE4914">
      <w:pPr>
        <w:pStyle w:val="Paragraphedeliste"/>
        <w:numPr>
          <w:ilvl w:val="0"/>
          <w:numId w:val="26"/>
        </w:numPr>
        <w:jc w:val="both"/>
        <w:rPr>
          <w:b/>
          <w:bCs/>
        </w:rPr>
      </w:pPr>
      <w:r w:rsidRPr="004E634A">
        <w:rPr>
          <w:b/>
          <w:bCs/>
        </w:rPr>
        <w:t>Actions de coordination et de soutien (CSA)</w:t>
      </w:r>
    </w:p>
    <w:p w14:paraId="3D14A46A" w14:textId="77777777" w:rsidR="004E634A" w:rsidRDefault="004E634A" w:rsidP="00FE4914">
      <w:pPr>
        <w:jc w:val="both"/>
      </w:pPr>
    </w:p>
    <w:p w14:paraId="5BF43885" w14:textId="77777777" w:rsidR="004E634A" w:rsidRDefault="004E634A" w:rsidP="00FE4914">
      <w:pPr>
        <w:jc w:val="both"/>
      </w:pPr>
      <w:r>
        <w:t>Action qui consiste principalement en des mesures d’accompagnement comme la standardisation, la dissémination, la sensibilisation et communication, la mise en réseau, les services de coordination et de soutien, les dialogues politiques, les exercices d’apprentissage mutuel et les études.</w:t>
      </w:r>
    </w:p>
    <w:p w14:paraId="43292121" w14:textId="77777777" w:rsidR="004E634A" w:rsidRDefault="004E634A" w:rsidP="00FE4914">
      <w:pPr>
        <w:jc w:val="both"/>
      </w:pPr>
    </w:p>
    <w:p w14:paraId="1BE8CE86" w14:textId="77777777" w:rsidR="004E634A" w:rsidRDefault="004E634A" w:rsidP="00FE4914">
      <w:pPr>
        <w:jc w:val="both"/>
      </w:pPr>
      <w:r>
        <w:t>Elle peut inclure des études de design pour de nouvelles infrastructures et des activités complémentaires de planning stratégique, la mise en réseau et la coordination entre programmes dans différents pays.</w:t>
      </w:r>
    </w:p>
    <w:p w14:paraId="4D47B4DC" w14:textId="77777777" w:rsidR="004E634A" w:rsidRDefault="004E634A" w:rsidP="00FE4914">
      <w:pPr>
        <w:jc w:val="both"/>
      </w:pPr>
    </w:p>
    <w:p w14:paraId="52F22F04" w14:textId="32363F7C" w:rsidR="004E634A" w:rsidRDefault="004E634A" w:rsidP="00FE4914">
      <w:pPr>
        <w:jc w:val="both"/>
      </w:pPr>
      <w:r>
        <w:t>Qui peut participer</w:t>
      </w:r>
      <w:r w:rsidR="00FC05F3">
        <w:t xml:space="preserve"> </w:t>
      </w:r>
      <w:r>
        <w:t xml:space="preserve">? </w:t>
      </w:r>
      <w:r w:rsidR="00FC05F3">
        <w:t>Ces projets peuvent être portés seul (par un acteur situé dans l’un des Etats membre de l’UE) ou pas un</w:t>
      </w:r>
      <w:r>
        <w:t xml:space="preserve"> consortium de partenaires issus de différents pays, milieux industriels et universitaires.</w:t>
      </w:r>
    </w:p>
    <w:p w14:paraId="30029727" w14:textId="77777777" w:rsidR="004E634A" w:rsidRDefault="004E634A" w:rsidP="00FE4914">
      <w:pPr>
        <w:jc w:val="both"/>
      </w:pPr>
    </w:p>
    <w:p w14:paraId="06AFFAA1" w14:textId="244FBED5" w:rsidR="00750CA9" w:rsidRDefault="004E634A" w:rsidP="00FE4914">
      <w:pPr>
        <w:jc w:val="both"/>
      </w:pPr>
      <w:r>
        <w:t>Taux de financement européen 100% et durée habituelle 12-30 mois.</w:t>
      </w:r>
    </w:p>
    <w:p w14:paraId="237625D0" w14:textId="77777777" w:rsidR="00750CA9" w:rsidRDefault="00750CA9" w:rsidP="00FE4914">
      <w:pPr>
        <w:jc w:val="both"/>
      </w:pPr>
    </w:p>
    <w:p w14:paraId="34A57737" w14:textId="2C4CFC13" w:rsidR="00750CA9" w:rsidRPr="00750CA9" w:rsidRDefault="00750CA9" w:rsidP="00FE4914">
      <w:pPr>
        <w:pStyle w:val="Paragraphedeliste"/>
        <w:numPr>
          <w:ilvl w:val="0"/>
          <w:numId w:val="26"/>
        </w:numPr>
        <w:jc w:val="both"/>
        <w:rPr>
          <w:b/>
          <w:bCs/>
        </w:rPr>
      </w:pPr>
      <w:r w:rsidRPr="00750CA9">
        <w:rPr>
          <w:b/>
          <w:bCs/>
        </w:rPr>
        <w:t xml:space="preserve">Actions cofinancées </w:t>
      </w:r>
      <w:r>
        <w:rPr>
          <w:b/>
          <w:bCs/>
        </w:rPr>
        <w:t>(</w:t>
      </w:r>
      <w:r w:rsidRPr="00750CA9">
        <w:rPr>
          <w:b/>
          <w:bCs/>
        </w:rPr>
        <w:t>COFUND</w:t>
      </w:r>
      <w:r>
        <w:rPr>
          <w:b/>
          <w:bCs/>
        </w:rPr>
        <w:t>)</w:t>
      </w:r>
      <w:r w:rsidR="00CB6787">
        <w:rPr>
          <w:rStyle w:val="Appelnotedebasdep"/>
          <w:b/>
          <w:bCs/>
        </w:rPr>
        <w:footnoteReference w:id="1"/>
      </w:r>
    </w:p>
    <w:p w14:paraId="4ADB4A47" w14:textId="77777777" w:rsidR="00750CA9" w:rsidRDefault="00750CA9" w:rsidP="00FE4914">
      <w:pPr>
        <w:jc w:val="both"/>
      </w:pPr>
    </w:p>
    <w:p w14:paraId="59BD6E34" w14:textId="77777777" w:rsidR="00750CA9" w:rsidRDefault="00750CA9" w:rsidP="00FE4914">
      <w:pPr>
        <w:jc w:val="both"/>
      </w:pPr>
      <w:r>
        <w:t>Il existe trois types d'actions pour les COFUND - Durée et taux de financement européen variable en fonction de l’action :</w:t>
      </w:r>
    </w:p>
    <w:p w14:paraId="5339B255" w14:textId="77777777" w:rsidR="00750CA9" w:rsidRDefault="00750CA9" w:rsidP="00FE4914">
      <w:pPr>
        <w:jc w:val="both"/>
      </w:pPr>
    </w:p>
    <w:p w14:paraId="52370920" w14:textId="0FBB6CF5" w:rsidR="00750CA9" w:rsidRDefault="00750CA9" w:rsidP="00FE4914">
      <w:pPr>
        <w:pStyle w:val="Paragraphedeliste"/>
        <w:numPr>
          <w:ilvl w:val="0"/>
          <w:numId w:val="27"/>
        </w:numPr>
        <w:jc w:val="both"/>
      </w:pPr>
      <w:r>
        <w:t xml:space="preserve">L’instrument ERA-NET COFUND : propose un financement complémentaire aux programmes nationaux pour des appels transnationaux, finance des organismes de recherche gouvernementale qui exécutent des </w:t>
      </w:r>
      <w:r>
        <w:lastRenderedPageBreak/>
        <w:t>projets transnationaux eux-mêmes ou soutien des initiatives public-public (y compris programmation conjointe).</w:t>
      </w:r>
      <w:r w:rsidR="00FE4914">
        <w:t xml:space="preserve"> </w:t>
      </w:r>
      <w:r>
        <w:t>Taux de financement européen : 33% des coûts de projets issus de l'appel</w:t>
      </w:r>
      <w:r w:rsidR="00CB6787">
        <w:t xml:space="preserve"> (budget minimum : 5 millions)</w:t>
      </w:r>
      <w:r>
        <w:t xml:space="preserve"> et durée habituelle de l’acti</w:t>
      </w:r>
      <w:r w:rsidR="00CB6787">
        <w:t>on : 5 ans. Partenariat : au moins trois participants issus de trois Etats membres ou associés. Les porteurs de projet sont en général des autorités nationales ou régionales, responsables pour la définition, le financement et la gestion de programmes de recherche.</w:t>
      </w:r>
    </w:p>
    <w:p w14:paraId="2465DFAD" w14:textId="77777777" w:rsidR="00750CA9" w:rsidRDefault="00750CA9" w:rsidP="00FE4914">
      <w:pPr>
        <w:jc w:val="both"/>
      </w:pPr>
    </w:p>
    <w:p w14:paraId="247FAACE" w14:textId="50320B6D" w:rsidR="00750CA9" w:rsidRDefault="00750CA9" w:rsidP="00FE4914">
      <w:pPr>
        <w:pStyle w:val="Paragraphedeliste"/>
        <w:numPr>
          <w:ilvl w:val="0"/>
          <w:numId w:val="27"/>
        </w:numPr>
        <w:jc w:val="both"/>
      </w:pPr>
      <w:r>
        <w:t xml:space="preserve">COFUND of Pre-Commercial </w:t>
      </w:r>
      <w:proofErr w:type="spellStart"/>
      <w:r>
        <w:t>Procurement</w:t>
      </w:r>
      <w:proofErr w:type="spellEnd"/>
      <w:r>
        <w:t xml:space="preserve"> (PCP) : cofinancement des achats publics avant commercialisation en vue de promouvoir l'innovation pour assurer des services publics durables et de qualité, en Europe.</w:t>
      </w:r>
      <w:r w:rsidR="00FE4914">
        <w:t xml:space="preserve"> </w:t>
      </w:r>
      <w:r>
        <w:t>Taux de financement européen : maximum 70% des coûts éligibles</w:t>
      </w:r>
      <w:r w:rsidR="005F3669">
        <w:t>.</w:t>
      </w:r>
    </w:p>
    <w:p w14:paraId="50C85596" w14:textId="77777777" w:rsidR="00750CA9" w:rsidRDefault="00750CA9" w:rsidP="00FE4914">
      <w:pPr>
        <w:jc w:val="both"/>
      </w:pPr>
    </w:p>
    <w:p w14:paraId="22E4CEB7" w14:textId="77777777" w:rsidR="00104728" w:rsidRDefault="00750CA9" w:rsidP="00FE4914">
      <w:pPr>
        <w:pStyle w:val="Paragraphedeliste"/>
        <w:numPr>
          <w:ilvl w:val="0"/>
          <w:numId w:val="27"/>
        </w:numPr>
        <w:jc w:val="both"/>
      </w:pPr>
      <w:r>
        <w:t xml:space="preserve">COFUND of Public </w:t>
      </w:r>
      <w:proofErr w:type="spellStart"/>
      <w:r>
        <w:t>Procurement</w:t>
      </w:r>
      <w:proofErr w:type="spellEnd"/>
      <w:r>
        <w:t xml:space="preserve"> of Innovative Solutions (PPI) : Il s'agit d'un cofinancement des achats publics de solutions novatrices, en vue de renforcer le déploiement des solutions innovantes dans l'intérêt public et de regrouper des pouvoirs adjudicateurs publics pour investir dans des solutions communes.</w:t>
      </w:r>
      <w:r w:rsidR="00FE4914">
        <w:t xml:space="preserve"> </w:t>
      </w:r>
      <w:r>
        <w:t>Taux de financement européen : maximum 20% des coûts éligibles</w:t>
      </w:r>
      <w:r w:rsidR="005F3669">
        <w:t>.</w:t>
      </w:r>
    </w:p>
    <w:p w14:paraId="20B13B08" w14:textId="77777777" w:rsidR="00DA7566" w:rsidRDefault="00DA7566" w:rsidP="00754CB4">
      <w:pPr>
        <w:pBdr>
          <w:top w:val="nil"/>
          <w:left w:val="nil"/>
          <w:bottom w:val="nil"/>
          <w:right w:val="nil"/>
          <w:between w:val="nil"/>
        </w:pBdr>
        <w:tabs>
          <w:tab w:val="left" w:pos="1307"/>
        </w:tabs>
        <w:jc w:val="both"/>
      </w:pPr>
    </w:p>
    <w:p w14:paraId="7BB511CC" w14:textId="77777777" w:rsidR="006A014C" w:rsidRDefault="006A014C" w:rsidP="006A014C">
      <w:pPr>
        <w:pStyle w:val="Paragraphedeliste"/>
        <w:numPr>
          <w:ilvl w:val="0"/>
          <w:numId w:val="11"/>
        </w:numPr>
        <w:pBdr>
          <w:top w:val="nil"/>
          <w:left w:val="nil"/>
          <w:bottom w:val="nil"/>
          <w:right w:val="nil"/>
          <w:between w:val="nil"/>
        </w:pBdr>
        <w:tabs>
          <w:tab w:val="left" w:pos="1307"/>
        </w:tabs>
        <w:jc w:val="both"/>
      </w:pPr>
      <w:r w:rsidRPr="004F46ED">
        <w:rPr>
          <w:b/>
          <w:bCs/>
          <w:i/>
          <w:iCs/>
          <w:color w:val="8064A2" w:themeColor="accent4"/>
        </w:rPr>
        <w:t>Echelle de TRL</w:t>
      </w:r>
    </w:p>
    <w:p w14:paraId="2569EE36" w14:textId="6BE44EE1" w:rsidR="006A014C" w:rsidRDefault="006A014C" w:rsidP="00754CB4">
      <w:pPr>
        <w:pBdr>
          <w:top w:val="nil"/>
          <w:left w:val="nil"/>
          <w:bottom w:val="nil"/>
          <w:right w:val="nil"/>
          <w:between w:val="nil"/>
        </w:pBdr>
        <w:tabs>
          <w:tab w:val="left" w:pos="1307"/>
        </w:tabs>
        <w:jc w:val="both"/>
      </w:pPr>
    </w:p>
    <w:p w14:paraId="30B2EF99" w14:textId="5130D822" w:rsidR="006A014C" w:rsidRDefault="006A014C" w:rsidP="00141A49">
      <w:pPr>
        <w:pBdr>
          <w:top w:val="nil"/>
          <w:left w:val="nil"/>
          <w:bottom w:val="nil"/>
          <w:right w:val="nil"/>
          <w:between w:val="nil"/>
        </w:pBdr>
        <w:tabs>
          <w:tab w:val="left" w:pos="1307"/>
        </w:tabs>
        <w:jc w:val="center"/>
      </w:pPr>
      <w:r>
        <w:rPr>
          <w:noProof/>
        </w:rPr>
        <w:drawing>
          <wp:inline distT="0" distB="0" distL="0" distR="0" wp14:anchorId="59E076C7" wp14:editId="133995C0">
            <wp:extent cx="5292437" cy="5044075"/>
            <wp:effectExtent l="0" t="0" r="3810" b="444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8">
                      <a:extLst>
                        <a:ext uri="{28A0092B-C50C-407E-A947-70E740481C1C}">
                          <a14:useLocalDpi xmlns:a14="http://schemas.microsoft.com/office/drawing/2010/main" val="0"/>
                        </a:ext>
                      </a:extLst>
                    </a:blip>
                    <a:stretch>
                      <a:fillRect/>
                    </a:stretch>
                  </pic:blipFill>
                  <pic:spPr>
                    <a:xfrm>
                      <a:off x="0" y="0"/>
                      <a:ext cx="5298843" cy="5050181"/>
                    </a:xfrm>
                    <a:prstGeom prst="rect">
                      <a:avLst/>
                    </a:prstGeom>
                  </pic:spPr>
                </pic:pic>
              </a:graphicData>
            </a:graphic>
          </wp:inline>
        </w:drawing>
      </w:r>
    </w:p>
    <w:p w14:paraId="036A33BF" w14:textId="3CE6CAAD" w:rsidR="006A014C" w:rsidRPr="00C70BAB" w:rsidRDefault="006D7F2A" w:rsidP="00754CB4">
      <w:pPr>
        <w:pBdr>
          <w:top w:val="nil"/>
          <w:left w:val="nil"/>
          <w:bottom w:val="nil"/>
          <w:right w:val="nil"/>
          <w:between w:val="nil"/>
        </w:pBdr>
        <w:tabs>
          <w:tab w:val="left" w:pos="1307"/>
        </w:tabs>
        <w:jc w:val="both"/>
        <w:rPr>
          <w:i/>
          <w:iCs/>
        </w:rPr>
      </w:pPr>
      <w:r>
        <w:rPr>
          <w:i/>
          <w:iCs/>
          <w:sz w:val="20"/>
          <w:szCs w:val="20"/>
        </w:rPr>
        <w:t xml:space="preserve">                </w:t>
      </w:r>
      <w:r w:rsidR="00C70BAB" w:rsidRPr="00C70BAB">
        <w:rPr>
          <w:i/>
          <w:iCs/>
          <w:sz w:val="20"/>
          <w:szCs w:val="20"/>
        </w:rPr>
        <w:t>Source : https://www.lescahiersdelinnovation.com/</w:t>
      </w:r>
    </w:p>
    <w:p w14:paraId="4045CF5C" w14:textId="4B7D93E6" w:rsidR="006A014C" w:rsidRDefault="006A014C" w:rsidP="00754CB4">
      <w:pPr>
        <w:pBdr>
          <w:top w:val="nil"/>
          <w:left w:val="nil"/>
          <w:bottom w:val="nil"/>
          <w:right w:val="nil"/>
          <w:between w:val="nil"/>
        </w:pBdr>
        <w:tabs>
          <w:tab w:val="left" w:pos="1307"/>
        </w:tabs>
        <w:jc w:val="both"/>
      </w:pPr>
    </w:p>
    <w:p w14:paraId="2B9FBE51" w14:textId="2A54E226" w:rsidR="003477CE" w:rsidRDefault="003477CE" w:rsidP="00754CB4">
      <w:pPr>
        <w:pBdr>
          <w:top w:val="nil"/>
          <w:left w:val="nil"/>
          <w:bottom w:val="nil"/>
          <w:right w:val="nil"/>
          <w:between w:val="nil"/>
        </w:pBdr>
        <w:tabs>
          <w:tab w:val="left" w:pos="1307"/>
        </w:tabs>
        <w:jc w:val="both"/>
      </w:pPr>
    </w:p>
    <w:p w14:paraId="1574928A" w14:textId="77777777" w:rsidR="003477CE" w:rsidRPr="00754CB4" w:rsidRDefault="003477CE" w:rsidP="00754CB4">
      <w:pPr>
        <w:pBdr>
          <w:top w:val="nil"/>
          <w:left w:val="nil"/>
          <w:bottom w:val="nil"/>
          <w:right w:val="nil"/>
          <w:between w:val="nil"/>
        </w:pBdr>
        <w:tabs>
          <w:tab w:val="left" w:pos="1307"/>
        </w:tabs>
        <w:jc w:val="both"/>
      </w:pPr>
    </w:p>
    <w:p w14:paraId="510C5ADD" w14:textId="77777777" w:rsidR="00746390" w:rsidRDefault="00746390" w:rsidP="00746390">
      <w:pPr>
        <w:pBdr>
          <w:top w:val="nil"/>
          <w:left w:val="nil"/>
          <w:bottom w:val="nil"/>
          <w:right w:val="nil"/>
          <w:between w:val="nil"/>
        </w:pBdr>
        <w:tabs>
          <w:tab w:val="left" w:pos="1307"/>
        </w:tabs>
        <w:jc w:val="both"/>
      </w:pPr>
    </w:p>
    <w:p w14:paraId="00000025" w14:textId="00C677BA" w:rsidR="00CC781C" w:rsidRPr="00363139" w:rsidRDefault="008F7158" w:rsidP="00363139">
      <w:pPr>
        <w:pStyle w:val="Paragraphedeliste"/>
        <w:numPr>
          <w:ilvl w:val="0"/>
          <w:numId w:val="11"/>
        </w:numPr>
        <w:pBdr>
          <w:top w:val="nil"/>
          <w:left w:val="nil"/>
          <w:bottom w:val="nil"/>
          <w:right w:val="nil"/>
          <w:between w:val="nil"/>
        </w:pBdr>
        <w:tabs>
          <w:tab w:val="left" w:pos="1307"/>
        </w:tabs>
        <w:jc w:val="both"/>
        <w:rPr>
          <w:b/>
          <w:bCs/>
          <w:i/>
          <w:iCs/>
          <w:color w:val="8064A2" w:themeColor="accent4"/>
        </w:rPr>
      </w:pPr>
      <w:r w:rsidRPr="00363139">
        <w:rPr>
          <w:b/>
          <w:bCs/>
          <w:i/>
          <w:iCs/>
          <w:color w:val="8064A2" w:themeColor="accent4"/>
        </w:rPr>
        <w:lastRenderedPageBreak/>
        <w:t>Partenariat</w:t>
      </w:r>
    </w:p>
    <w:p w14:paraId="1D0D77A8" w14:textId="1740A563" w:rsidR="001F0C28" w:rsidRDefault="001F0C28" w:rsidP="001F0C28">
      <w:pPr>
        <w:tabs>
          <w:tab w:val="left" w:pos="1307"/>
        </w:tabs>
        <w:jc w:val="both"/>
      </w:pPr>
    </w:p>
    <w:p w14:paraId="2615920B" w14:textId="23D08E4A" w:rsidR="001F0C28" w:rsidRDefault="001F0C28" w:rsidP="001F0C28">
      <w:pPr>
        <w:tabs>
          <w:tab w:val="left" w:pos="1307"/>
        </w:tabs>
        <w:jc w:val="both"/>
      </w:pPr>
      <w:r>
        <w:t xml:space="preserve">Les partenariats d’Horizon Europe comprenne plusieurs catégories d’acteurs : </w:t>
      </w:r>
    </w:p>
    <w:p w14:paraId="764BFE9C" w14:textId="16B01AB4" w:rsidR="001F0C28" w:rsidRDefault="001F0C28" w:rsidP="001F0C28">
      <w:pPr>
        <w:pStyle w:val="Paragraphedeliste"/>
        <w:numPr>
          <w:ilvl w:val="0"/>
          <w:numId w:val="24"/>
        </w:numPr>
        <w:tabs>
          <w:tab w:val="left" w:pos="1307"/>
        </w:tabs>
        <w:jc w:val="both"/>
      </w:pPr>
      <w:r>
        <w:t>Les acteurs issus d’un Etat membre de l’Union européenne, éligibles de droit et pouvant être porteur de projet</w:t>
      </w:r>
    </w:p>
    <w:p w14:paraId="146CE0D7" w14:textId="77777777" w:rsidR="001F0C28" w:rsidRDefault="001F0C28" w:rsidP="001F0C28">
      <w:pPr>
        <w:pStyle w:val="Paragraphedeliste"/>
        <w:numPr>
          <w:ilvl w:val="0"/>
          <w:numId w:val="24"/>
        </w:numPr>
        <w:tabs>
          <w:tab w:val="left" w:pos="1307"/>
        </w:tabs>
        <w:jc w:val="both"/>
      </w:pPr>
      <w:r>
        <w:t xml:space="preserve">Des acteurs issus des « Etats associés ». Ces pays signent un accord avec la Commission pour être considérés comme Etats associés. Ces accords n’ont pas encore été renouvelés pour 2021-2027, en attendant, la Commission considère comme Etats associés la liste des Etats admis pour 2014-2021 (voir liste </w:t>
      </w:r>
      <w:hyperlink r:id="rId19" w:history="1">
        <w:r w:rsidRPr="005C431F">
          <w:rPr>
            <w:rStyle w:val="Lienhypertexte"/>
          </w:rPr>
          <w:t>ici</w:t>
        </w:r>
      </w:hyperlink>
      <w:r>
        <w:t>).</w:t>
      </w:r>
    </w:p>
    <w:p w14:paraId="32F8EE8C" w14:textId="47DB5B11" w:rsidR="001F0C28" w:rsidRPr="007110C5" w:rsidRDefault="001F0C28" w:rsidP="001F0C28">
      <w:pPr>
        <w:pStyle w:val="Paragraphedeliste"/>
        <w:numPr>
          <w:ilvl w:val="0"/>
          <w:numId w:val="24"/>
        </w:numPr>
        <w:tabs>
          <w:tab w:val="left" w:pos="1307"/>
        </w:tabs>
        <w:jc w:val="both"/>
      </w:pPr>
      <w:r>
        <w:t xml:space="preserve">Des acteurs issus des pays en voie de développement, sauf exclusion spécifique mentionnée dans certains appels (la liste peut être trouvée dans les annexes des programmes de travail </w:t>
      </w:r>
      <w:r w:rsidR="002F4014">
        <w:t>pluriannuels</w:t>
      </w:r>
      <w:r>
        <w:t>, à paraitre pour 2021-2022</w:t>
      </w:r>
      <w:r>
        <w:rPr>
          <w:rStyle w:val="Appelnotedebasdep"/>
        </w:rPr>
        <w:footnoteReference w:id="2"/>
      </w:r>
      <w:r>
        <w:t>.</w:t>
      </w:r>
    </w:p>
    <w:p w14:paraId="7D737A6E" w14:textId="12EF7591" w:rsidR="001F0C28" w:rsidRDefault="001F0C28" w:rsidP="001F0C28">
      <w:pPr>
        <w:tabs>
          <w:tab w:val="left" w:pos="1307"/>
        </w:tabs>
        <w:jc w:val="both"/>
      </w:pPr>
    </w:p>
    <w:p w14:paraId="168B8676" w14:textId="77777777" w:rsidR="007110C5" w:rsidRPr="007110C5" w:rsidRDefault="007110C5" w:rsidP="007110C5">
      <w:pPr>
        <w:pBdr>
          <w:top w:val="nil"/>
          <w:left w:val="nil"/>
          <w:bottom w:val="nil"/>
          <w:right w:val="nil"/>
          <w:between w:val="nil"/>
        </w:pBdr>
        <w:tabs>
          <w:tab w:val="left" w:pos="1307"/>
        </w:tabs>
        <w:jc w:val="both"/>
      </w:pPr>
    </w:p>
    <w:p w14:paraId="0000003A" w14:textId="77777777" w:rsidR="00CC781C" w:rsidRDefault="008F7158">
      <w:pPr>
        <w:pStyle w:val="Titre1"/>
        <w:ind w:firstLine="360"/>
      </w:pPr>
      <w:r>
        <w:t>Informations pratiques</w:t>
      </w:r>
    </w:p>
    <w:p w14:paraId="0000003B" w14:textId="77777777" w:rsidR="00CC781C" w:rsidRDefault="00CC781C">
      <w:pPr>
        <w:tabs>
          <w:tab w:val="left" w:pos="1307"/>
        </w:tabs>
        <w:jc w:val="both"/>
      </w:pPr>
    </w:p>
    <w:p w14:paraId="0000003C" w14:textId="36F61E5D" w:rsidR="00CC781C" w:rsidRDefault="002E1BA5">
      <w:pPr>
        <w:numPr>
          <w:ilvl w:val="0"/>
          <w:numId w:val="3"/>
        </w:numPr>
        <w:pBdr>
          <w:top w:val="nil"/>
          <w:left w:val="nil"/>
          <w:bottom w:val="nil"/>
          <w:right w:val="nil"/>
          <w:between w:val="nil"/>
        </w:pBdr>
        <w:tabs>
          <w:tab w:val="left" w:pos="1307"/>
        </w:tabs>
        <w:jc w:val="both"/>
      </w:pPr>
      <w:r>
        <w:t xml:space="preserve">Des points de contacts nationaux (PCN) existent pour ce programme, et peuvent être contacté en cas de question ou de besoin de conseil. Ces PCN sont spécialisés par thématique transversale, par cluster, ou par instrument : PCN </w:t>
      </w:r>
      <w:r w:rsidR="008F6BFD">
        <w:t xml:space="preserve">questions </w:t>
      </w:r>
      <w:r>
        <w:t>juridiques et financières ; PCN Santé ; PCN Fission ; PCN transports ; etc.</w:t>
      </w:r>
    </w:p>
    <w:p w14:paraId="3AAB2B34" w14:textId="5C51F036" w:rsidR="002E1BA5" w:rsidRDefault="002E1BA5" w:rsidP="002E1BA5">
      <w:pPr>
        <w:pBdr>
          <w:top w:val="nil"/>
          <w:left w:val="nil"/>
          <w:bottom w:val="nil"/>
          <w:right w:val="nil"/>
          <w:between w:val="nil"/>
        </w:pBdr>
        <w:tabs>
          <w:tab w:val="left" w:pos="1307"/>
        </w:tabs>
        <w:ind w:left="360"/>
        <w:jc w:val="both"/>
      </w:pPr>
      <w:r>
        <w:t xml:space="preserve">La liste complète est disponible </w:t>
      </w:r>
      <w:hyperlink r:id="rId20" w:history="1">
        <w:r w:rsidRPr="002E1BA5">
          <w:rPr>
            <w:rStyle w:val="Lienhypertexte"/>
          </w:rPr>
          <w:t>ici</w:t>
        </w:r>
      </w:hyperlink>
      <w:r>
        <w:t>.</w:t>
      </w:r>
    </w:p>
    <w:p w14:paraId="00000040" w14:textId="77777777" w:rsidR="00CC781C" w:rsidRDefault="00CC781C">
      <w:pPr>
        <w:pBdr>
          <w:top w:val="nil"/>
          <w:left w:val="nil"/>
          <w:bottom w:val="nil"/>
          <w:right w:val="nil"/>
          <w:between w:val="nil"/>
        </w:pBdr>
        <w:tabs>
          <w:tab w:val="left" w:pos="1307"/>
        </w:tabs>
        <w:ind w:left="360"/>
        <w:jc w:val="both"/>
        <w:rPr>
          <w:color w:val="000000"/>
        </w:rPr>
      </w:pPr>
    </w:p>
    <w:p w14:paraId="25CF4703" w14:textId="77777777" w:rsidR="003D7457" w:rsidRPr="007110C5" w:rsidRDefault="003D7457" w:rsidP="003D7457">
      <w:pPr>
        <w:numPr>
          <w:ilvl w:val="0"/>
          <w:numId w:val="1"/>
        </w:numPr>
        <w:pBdr>
          <w:top w:val="nil"/>
          <w:left w:val="nil"/>
          <w:bottom w:val="nil"/>
          <w:right w:val="nil"/>
          <w:between w:val="nil"/>
        </w:pBdr>
        <w:tabs>
          <w:tab w:val="left" w:pos="1307"/>
        </w:tabs>
        <w:jc w:val="both"/>
      </w:pPr>
      <w:r>
        <w:rPr>
          <w:color w:val="000000"/>
        </w:rPr>
        <w:t xml:space="preserve">Pour Horizon Europe les appels à projets sont publiés selon une fréquence irrégulière. Des programmes de travail sont publiés tous les deux ans, pour présenter les appels à venir. Il est impératif de consulter ces programmes de travail dès leur publication, car certains appels (et donc certains sujets) ne seront publiés qu’une seule fois sur toute la durée de la programmation (donc sur les 7 ans). </w:t>
      </w:r>
    </w:p>
    <w:p w14:paraId="1BE40174" w14:textId="77777777" w:rsidR="003D7457" w:rsidRPr="007110C5" w:rsidRDefault="003D7457" w:rsidP="003D7457">
      <w:pPr>
        <w:pBdr>
          <w:top w:val="nil"/>
          <w:left w:val="nil"/>
          <w:bottom w:val="nil"/>
          <w:right w:val="nil"/>
          <w:between w:val="nil"/>
        </w:pBdr>
        <w:tabs>
          <w:tab w:val="left" w:pos="1307"/>
        </w:tabs>
        <w:jc w:val="both"/>
      </w:pPr>
    </w:p>
    <w:p w14:paraId="15187DEF" w14:textId="77777777" w:rsidR="003D7457" w:rsidRDefault="003D7457" w:rsidP="003D7457">
      <w:pPr>
        <w:numPr>
          <w:ilvl w:val="0"/>
          <w:numId w:val="1"/>
        </w:numPr>
        <w:pBdr>
          <w:top w:val="nil"/>
          <w:left w:val="nil"/>
          <w:bottom w:val="nil"/>
          <w:right w:val="nil"/>
          <w:between w:val="nil"/>
        </w:pBdr>
        <w:tabs>
          <w:tab w:val="left" w:pos="1307"/>
        </w:tabs>
        <w:jc w:val="both"/>
      </w:pPr>
      <w:r>
        <w:rPr>
          <w:color w:val="000000"/>
        </w:rPr>
        <w:t>Le programme Horizon 2020 était assez sélectif (une moyenne de 10 % de sélection, mais chaque pilier et chaque cluster dispose en fait de taux de sélectivité différents).</w:t>
      </w:r>
    </w:p>
    <w:p w14:paraId="7C4A7FC2" w14:textId="5915EDB3" w:rsidR="00B34036" w:rsidRDefault="00B34036" w:rsidP="003D7457">
      <w:pPr>
        <w:pBdr>
          <w:top w:val="nil"/>
          <w:left w:val="nil"/>
          <w:bottom w:val="nil"/>
          <w:right w:val="nil"/>
          <w:between w:val="nil"/>
        </w:pBdr>
        <w:tabs>
          <w:tab w:val="left" w:pos="1307"/>
        </w:tabs>
        <w:jc w:val="both"/>
      </w:pPr>
    </w:p>
    <w:sectPr w:rsidR="00B34036">
      <w:headerReference w:type="default" r:id="rId21"/>
      <w:footerReference w:type="even" r:id="rId22"/>
      <w:footerReference w:type="default" r:id="rId23"/>
      <w:pgSz w:w="11900" w:h="16840"/>
      <w:pgMar w:top="1276" w:right="985"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7691B" w14:textId="77777777" w:rsidR="00924136" w:rsidRDefault="00924136">
      <w:r>
        <w:separator/>
      </w:r>
    </w:p>
  </w:endnote>
  <w:endnote w:type="continuationSeparator" w:id="0">
    <w:p w14:paraId="7F3DE0E8" w14:textId="77777777" w:rsidR="00924136" w:rsidRDefault="00924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Noto Sans Symbols">
    <w:altName w:val="Calibri"/>
    <w:charset w:val="00"/>
    <w:family w:val="auto"/>
    <w:pitch w:val="default"/>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mo">
    <w:altName w:val="Calibri"/>
    <w:charset w:val="00"/>
    <w:family w:val="swiss"/>
    <w:pitch w:val="variable"/>
    <w:sig w:usb0="E0000AFF" w:usb1="500078FF" w:usb2="00000021" w:usb3="00000000" w:csb0="000001BF" w:csb1="00000000"/>
  </w:font>
  <w:font w:name="Times New Roman (Corps CS)">
    <w:altName w:val="Times New Roman"/>
    <w:charset w:val="00"/>
    <w:family w:val="roman"/>
    <w:pitch w:val="default"/>
  </w:font>
  <w:font w:name="Trajan Pro">
    <w:altName w:val="Calibri"/>
    <w:panose1 w:val="00000000000000000000"/>
    <w:charset w:val="4D"/>
    <w:family w:val="roman"/>
    <w:notTrueType/>
    <w:pitch w:val="variable"/>
    <w:sig w:usb0="00000007" w:usb1="00000000" w:usb2="00000000" w:usb3="00000000" w:csb0="00000093"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Orator Std">
    <w:altName w:val="Lucida Sans Typewriter"/>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77777777" w:rsidR="00D34040" w:rsidRDefault="00D34040">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47" w14:textId="77777777" w:rsidR="00D34040" w:rsidRDefault="00D34040">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8" w14:textId="2B1C0C0D" w:rsidR="00D34040" w:rsidRDefault="00D34040">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D34040" w14:paraId="4046B859" w14:textId="77777777">
      <w:tc>
        <w:tcPr>
          <w:tcW w:w="1661" w:type="dxa"/>
        </w:tcPr>
        <w:p w14:paraId="00000049" w14:textId="77777777" w:rsidR="00D34040" w:rsidRDefault="00D34040">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0000004A" w14:textId="77777777" w:rsidR="00D34040" w:rsidRDefault="00D34040">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0000004B" w14:textId="77777777" w:rsidR="00D34040" w:rsidRDefault="00D34040">
          <w:pPr>
            <w:pBdr>
              <w:top w:val="nil"/>
              <w:left w:val="nil"/>
              <w:bottom w:val="nil"/>
              <w:right w:val="nil"/>
              <w:between w:val="nil"/>
            </w:pBdr>
            <w:tabs>
              <w:tab w:val="center" w:pos="4536"/>
              <w:tab w:val="right" w:pos="9072"/>
            </w:tabs>
            <w:ind w:right="360"/>
            <w:rPr>
              <w:color w:val="000000"/>
            </w:rPr>
          </w:pPr>
          <w:r>
            <w:rPr>
              <w:color w:val="000000"/>
            </w:rPr>
            <w:t>2021</w:t>
          </w:r>
        </w:p>
      </w:tc>
    </w:tr>
  </w:tbl>
  <w:p w14:paraId="0000004C" w14:textId="77777777" w:rsidR="00D34040" w:rsidRDefault="00D34040">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58139" w14:textId="77777777" w:rsidR="00924136" w:rsidRDefault="00924136">
      <w:r>
        <w:separator/>
      </w:r>
    </w:p>
  </w:footnote>
  <w:footnote w:type="continuationSeparator" w:id="0">
    <w:p w14:paraId="51CE52D3" w14:textId="77777777" w:rsidR="00924136" w:rsidRDefault="00924136">
      <w:r>
        <w:continuationSeparator/>
      </w:r>
    </w:p>
  </w:footnote>
  <w:footnote w:id="1">
    <w:p w14:paraId="206F3D3F" w14:textId="5570B707" w:rsidR="00CB6787" w:rsidRDefault="00CB6787">
      <w:pPr>
        <w:pStyle w:val="Notedebasdepage"/>
      </w:pPr>
      <w:r>
        <w:rPr>
          <w:rStyle w:val="Appelnotedebasdep"/>
        </w:rPr>
        <w:footnoteRef/>
      </w:r>
      <w:r>
        <w:t xml:space="preserve"> Informations basées sur le programme H2020, les informations pour Horizon Europe n’étant pas encore connue</w:t>
      </w:r>
    </w:p>
  </w:footnote>
  <w:footnote w:id="2">
    <w:p w14:paraId="12E42F47" w14:textId="77777777" w:rsidR="001F0C28" w:rsidRDefault="001F0C28" w:rsidP="001F0C28">
      <w:pPr>
        <w:pStyle w:val="Notedebasdepage"/>
      </w:pPr>
      <w:r>
        <w:rPr>
          <w:rStyle w:val="Appelnotedebasdep"/>
        </w:rPr>
        <w:footnoteRef/>
      </w:r>
      <w:r>
        <w:t xml:space="preserve"> Pour 2014-2020, 123 pays étaient concernés, le programme couvre donc quasiment l’ensemble des Etats existants.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5" w14:textId="77777777" w:rsidR="00D34040" w:rsidRDefault="00D34040">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8240" behindDoc="0" locked="0" layoutInCell="1" hidden="0" allowOverlap="1" wp14:anchorId="38F424DE" wp14:editId="093723BB">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59264" behindDoc="0" locked="0" layoutInCell="1" hidden="0" allowOverlap="1" wp14:anchorId="23627090" wp14:editId="1284FD90">
          <wp:simplePos x="0" y="0"/>
          <wp:positionH relativeFrom="column">
            <wp:posOffset>-701039</wp:posOffset>
          </wp:positionH>
          <wp:positionV relativeFrom="paragraph">
            <wp:posOffset>-400049</wp:posOffset>
          </wp:positionV>
          <wp:extent cx="795655" cy="795655"/>
          <wp:effectExtent l="0" t="0" r="0" b="0"/>
          <wp:wrapSquare wrapText="bothSides" distT="0" distB="0" distL="0" distR="0"/>
          <wp:docPr id="11"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2"/>
                  <a:srcRect/>
                  <a:stretch>
                    <a:fillRect/>
                  </a:stretch>
                </pic:blipFill>
                <pic:spPr>
                  <a:xfrm>
                    <a:off x="0" y="0"/>
                    <a:ext cx="795655" cy="795655"/>
                  </a:xfrm>
                  <a:prstGeom prst="rect">
                    <a:avLst/>
                  </a:prstGeom>
                  <a:ln/>
                </pic:spPr>
              </pic:pic>
            </a:graphicData>
          </a:graphic>
        </wp:anchor>
      </w:drawing>
    </w:r>
    <w:r>
      <w:rPr>
        <w:noProof/>
      </w:rPr>
      <w:drawing>
        <wp:anchor distT="0" distB="0" distL="0" distR="0" simplePos="0" relativeHeight="251660288" behindDoc="0" locked="0" layoutInCell="1" hidden="0" allowOverlap="1" wp14:anchorId="1300281A" wp14:editId="080F160F">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2"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8486D"/>
    <w:multiLevelType w:val="hybridMultilevel"/>
    <w:tmpl w:val="88A0EA4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F26D7B"/>
    <w:multiLevelType w:val="hybridMultilevel"/>
    <w:tmpl w:val="8A78C9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910CE0"/>
    <w:multiLevelType w:val="hybridMultilevel"/>
    <w:tmpl w:val="27D8FCE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D40A1"/>
    <w:multiLevelType w:val="hybridMultilevel"/>
    <w:tmpl w:val="2B9661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175CDD"/>
    <w:multiLevelType w:val="multilevel"/>
    <w:tmpl w:val="C3201410"/>
    <w:lvl w:ilvl="0">
      <w:start w:val="1"/>
      <w:numFmt w:val="decimal"/>
      <w:pStyle w:val="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1E92B9C"/>
    <w:multiLevelType w:val="hybridMultilevel"/>
    <w:tmpl w:val="8988A1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72B64FD"/>
    <w:multiLevelType w:val="hybridMultilevel"/>
    <w:tmpl w:val="349821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B6F03"/>
    <w:multiLevelType w:val="hybridMultilevel"/>
    <w:tmpl w:val="036CABC0"/>
    <w:lvl w:ilvl="0" w:tplc="7F9E781A">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8D2270"/>
    <w:multiLevelType w:val="multilevel"/>
    <w:tmpl w:val="D8FCE3B8"/>
    <w:lvl w:ilvl="0">
      <w:start w:val="1"/>
      <w:numFmt w:val="bullet"/>
      <w:pStyle w:val="EnvParti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2F592E77"/>
    <w:multiLevelType w:val="hybridMultilevel"/>
    <w:tmpl w:val="074404A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225E89"/>
    <w:multiLevelType w:val="multilevel"/>
    <w:tmpl w:val="DBA6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3E5F0354"/>
    <w:multiLevelType w:val="hybridMultilevel"/>
    <w:tmpl w:val="A83A445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9">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EA01A3"/>
    <w:multiLevelType w:val="hybridMultilevel"/>
    <w:tmpl w:val="10108AA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F235F1"/>
    <w:multiLevelType w:val="hybridMultilevel"/>
    <w:tmpl w:val="4D3A1B6A"/>
    <w:lvl w:ilvl="0" w:tplc="A6E643B0">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42127EF3"/>
    <w:multiLevelType w:val="hybridMultilevel"/>
    <w:tmpl w:val="7FE4AD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7B52287"/>
    <w:multiLevelType w:val="hybridMultilevel"/>
    <w:tmpl w:val="ADD8B07C"/>
    <w:lvl w:ilvl="0" w:tplc="CC880452">
      <w:start w:val="5"/>
      <w:numFmt w:val="bullet"/>
      <w:lvlText w:val="-"/>
      <w:lvlJc w:val="left"/>
      <w:pPr>
        <w:ind w:left="720" w:hanging="360"/>
      </w:pPr>
      <w:rPr>
        <w:rFonts w:ascii="Calibri" w:eastAsia="Calibr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C633EE"/>
    <w:multiLevelType w:val="hybridMultilevel"/>
    <w:tmpl w:val="D736EB96"/>
    <w:lvl w:ilvl="0" w:tplc="CC880452">
      <w:start w:val="5"/>
      <w:numFmt w:val="bullet"/>
      <w:lvlText w:val="-"/>
      <w:lvlJc w:val="left"/>
      <w:pPr>
        <w:ind w:left="720" w:hanging="360"/>
      </w:pPr>
      <w:rPr>
        <w:rFonts w:ascii="Calibri" w:eastAsia="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686ACC"/>
    <w:multiLevelType w:val="hybridMultilevel"/>
    <w:tmpl w:val="A07ACEE4"/>
    <w:lvl w:ilvl="0" w:tplc="C8200E44">
      <w:start w:val="1"/>
      <w:numFmt w:val="bullet"/>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57A6392"/>
    <w:multiLevelType w:val="hybridMultilevel"/>
    <w:tmpl w:val="74F08AE6"/>
    <w:lvl w:ilvl="0" w:tplc="396A19E2">
      <w:start w:val="1"/>
      <w:numFmt w:val="bullet"/>
      <w:lvlText w:val=""/>
      <w:lvlJc w:val="left"/>
      <w:pPr>
        <w:ind w:left="720" w:hanging="360"/>
      </w:pPr>
      <w:rPr>
        <w:rFonts w:ascii="Wingdings" w:hAnsi="Wingdings" w:hint="default"/>
        <w:color w:val="8064A2" w:themeColor="accent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B994D78"/>
    <w:multiLevelType w:val="hybridMultilevel"/>
    <w:tmpl w:val="651E9F80"/>
    <w:lvl w:ilvl="0" w:tplc="CC880452">
      <w:start w:val="5"/>
      <w:numFmt w:val="bullet"/>
      <w:lvlText w:val="-"/>
      <w:lvlJc w:val="left"/>
      <w:pPr>
        <w:ind w:left="720" w:hanging="360"/>
      </w:pPr>
      <w:rPr>
        <w:rFonts w:ascii="Calibri" w:eastAsia="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65F83224"/>
    <w:multiLevelType w:val="hybridMultilevel"/>
    <w:tmpl w:val="76A86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62148C6"/>
    <w:multiLevelType w:val="hybridMultilevel"/>
    <w:tmpl w:val="E916B6CE"/>
    <w:lvl w:ilvl="0" w:tplc="CC880452">
      <w:start w:val="5"/>
      <w:numFmt w:val="bullet"/>
      <w:lvlText w:val="-"/>
      <w:lvlJc w:val="left"/>
      <w:pPr>
        <w:ind w:left="720" w:hanging="360"/>
      </w:pPr>
      <w:rPr>
        <w:rFonts w:ascii="Calibri" w:eastAsia="Calibr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6ED5475"/>
    <w:multiLevelType w:val="multilevel"/>
    <w:tmpl w:val="988C9A70"/>
    <w:lvl w:ilvl="0">
      <w:start w:val="1"/>
      <w:numFmt w:val="bullet"/>
      <w:lvlText w:val=""/>
      <w:lvlJc w:val="left"/>
      <w:pPr>
        <w:ind w:left="360" w:hanging="360"/>
      </w:pPr>
      <w:rPr>
        <w:rFonts w:ascii="Arimo" w:eastAsia="Arimo" w:hAnsi="Arimo" w:cs="Arimo"/>
        <w:color w:val="B2A1C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66FA63E2"/>
    <w:multiLevelType w:val="hybridMultilevel"/>
    <w:tmpl w:val="32AEA7B0"/>
    <w:lvl w:ilvl="0" w:tplc="CC880452">
      <w:start w:val="5"/>
      <w:numFmt w:val="bullet"/>
      <w:lvlText w:val="-"/>
      <w:lvlJc w:val="left"/>
      <w:pPr>
        <w:ind w:left="720" w:hanging="360"/>
      </w:pPr>
      <w:rPr>
        <w:rFonts w:ascii="Calibri" w:eastAsia="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E002D3"/>
    <w:multiLevelType w:val="hybridMultilevel"/>
    <w:tmpl w:val="08F62E66"/>
    <w:lvl w:ilvl="0" w:tplc="CC880452">
      <w:start w:val="5"/>
      <w:numFmt w:val="bullet"/>
      <w:lvlText w:val="-"/>
      <w:lvlJc w:val="left"/>
      <w:pPr>
        <w:ind w:left="720" w:hanging="360"/>
      </w:pPr>
      <w:rPr>
        <w:rFonts w:ascii="Calibri" w:eastAsia="Calibr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435666"/>
    <w:multiLevelType w:val="hybridMultilevel"/>
    <w:tmpl w:val="96CEEC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1DB20CA"/>
    <w:multiLevelType w:val="hybridMultilevel"/>
    <w:tmpl w:val="2BA6D572"/>
    <w:lvl w:ilvl="0" w:tplc="CC880452">
      <w:start w:val="5"/>
      <w:numFmt w:val="bullet"/>
      <w:lvlText w:val="-"/>
      <w:lvlJc w:val="left"/>
      <w:pPr>
        <w:ind w:left="720" w:hanging="360"/>
      </w:pPr>
      <w:rPr>
        <w:rFonts w:ascii="Calibri" w:eastAsia="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AC52FE3"/>
    <w:multiLevelType w:val="hybridMultilevel"/>
    <w:tmpl w:val="9C340D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7D61360F"/>
    <w:multiLevelType w:val="hybridMultilevel"/>
    <w:tmpl w:val="5790BFAE"/>
    <w:lvl w:ilvl="0" w:tplc="BE92618A">
      <w:start w:val="1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F617132"/>
    <w:multiLevelType w:val="hybridMultilevel"/>
    <w:tmpl w:val="272664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1"/>
  </w:num>
  <w:num w:numId="3">
    <w:abstractNumId w:val="10"/>
  </w:num>
  <w:num w:numId="4">
    <w:abstractNumId w:val="24"/>
  </w:num>
  <w:num w:numId="5">
    <w:abstractNumId w:val="4"/>
  </w:num>
  <w:num w:numId="6">
    <w:abstractNumId w:val="12"/>
  </w:num>
  <w:num w:numId="7">
    <w:abstractNumId w:val="18"/>
  </w:num>
  <w:num w:numId="8">
    <w:abstractNumId w:val="15"/>
  </w:num>
  <w:num w:numId="9">
    <w:abstractNumId w:val="13"/>
  </w:num>
  <w:num w:numId="10">
    <w:abstractNumId w:val="23"/>
  </w:num>
  <w:num w:numId="11">
    <w:abstractNumId w:val="19"/>
  </w:num>
  <w:num w:numId="12">
    <w:abstractNumId w:val="29"/>
  </w:num>
  <w:num w:numId="13">
    <w:abstractNumId w:val="6"/>
  </w:num>
  <w:num w:numId="14">
    <w:abstractNumId w:val="20"/>
  </w:num>
  <w:num w:numId="15">
    <w:abstractNumId w:val="28"/>
  </w:num>
  <w:num w:numId="16">
    <w:abstractNumId w:val="22"/>
  </w:num>
  <w:num w:numId="17">
    <w:abstractNumId w:val="31"/>
  </w:num>
  <w:num w:numId="18">
    <w:abstractNumId w:val="5"/>
  </w:num>
  <w:num w:numId="19">
    <w:abstractNumId w:val="1"/>
  </w:num>
  <w:num w:numId="20">
    <w:abstractNumId w:val="16"/>
  </w:num>
  <w:num w:numId="21">
    <w:abstractNumId w:val="0"/>
  </w:num>
  <w:num w:numId="22">
    <w:abstractNumId w:val="26"/>
  </w:num>
  <w:num w:numId="23">
    <w:abstractNumId w:val="7"/>
  </w:num>
  <w:num w:numId="24">
    <w:abstractNumId w:val="25"/>
  </w:num>
  <w:num w:numId="25">
    <w:abstractNumId w:val="3"/>
  </w:num>
  <w:num w:numId="26">
    <w:abstractNumId w:val="9"/>
  </w:num>
  <w:num w:numId="27">
    <w:abstractNumId w:val="14"/>
  </w:num>
  <w:num w:numId="28">
    <w:abstractNumId w:val="27"/>
  </w:num>
  <w:num w:numId="29">
    <w:abstractNumId w:val="17"/>
  </w:num>
  <w:num w:numId="30">
    <w:abstractNumId w:val="11"/>
  </w:num>
  <w:num w:numId="31">
    <w:abstractNumId w:val="2"/>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05466"/>
    <w:rsid w:val="00011315"/>
    <w:rsid w:val="000139FC"/>
    <w:rsid w:val="000248C0"/>
    <w:rsid w:val="000343EB"/>
    <w:rsid w:val="00037BCA"/>
    <w:rsid w:val="00037D79"/>
    <w:rsid w:val="00046E9C"/>
    <w:rsid w:val="00047829"/>
    <w:rsid w:val="000550DA"/>
    <w:rsid w:val="00071F7F"/>
    <w:rsid w:val="000752F9"/>
    <w:rsid w:val="00085DFA"/>
    <w:rsid w:val="000A4C3C"/>
    <w:rsid w:val="000D353A"/>
    <w:rsid w:val="000D54A4"/>
    <w:rsid w:val="000F0837"/>
    <w:rsid w:val="000F0E5A"/>
    <w:rsid w:val="000F3E43"/>
    <w:rsid w:val="00100D2C"/>
    <w:rsid w:val="00104728"/>
    <w:rsid w:val="00115F38"/>
    <w:rsid w:val="00123887"/>
    <w:rsid w:val="001307F4"/>
    <w:rsid w:val="00141A49"/>
    <w:rsid w:val="0017175C"/>
    <w:rsid w:val="00195956"/>
    <w:rsid w:val="001B0059"/>
    <w:rsid w:val="001B0D68"/>
    <w:rsid w:val="001C0314"/>
    <w:rsid w:val="001C3B17"/>
    <w:rsid w:val="001E124C"/>
    <w:rsid w:val="001E5A62"/>
    <w:rsid w:val="001F0C28"/>
    <w:rsid w:val="001F1809"/>
    <w:rsid w:val="002022B1"/>
    <w:rsid w:val="00207C37"/>
    <w:rsid w:val="00211C1C"/>
    <w:rsid w:val="00233867"/>
    <w:rsid w:val="00252C72"/>
    <w:rsid w:val="002643DF"/>
    <w:rsid w:val="002658F9"/>
    <w:rsid w:val="0026654F"/>
    <w:rsid w:val="00266EA7"/>
    <w:rsid w:val="00285A09"/>
    <w:rsid w:val="00297416"/>
    <w:rsid w:val="002B7BB0"/>
    <w:rsid w:val="002D0572"/>
    <w:rsid w:val="002D713C"/>
    <w:rsid w:val="002D736A"/>
    <w:rsid w:val="002E1BA5"/>
    <w:rsid w:val="002E4554"/>
    <w:rsid w:val="002F1E2B"/>
    <w:rsid w:val="002F4014"/>
    <w:rsid w:val="002F5889"/>
    <w:rsid w:val="00302C26"/>
    <w:rsid w:val="003112CA"/>
    <w:rsid w:val="003169A1"/>
    <w:rsid w:val="00316E7E"/>
    <w:rsid w:val="003254E0"/>
    <w:rsid w:val="00330D04"/>
    <w:rsid w:val="0033437A"/>
    <w:rsid w:val="00346EA6"/>
    <w:rsid w:val="003477CE"/>
    <w:rsid w:val="00363139"/>
    <w:rsid w:val="003735E4"/>
    <w:rsid w:val="0037750E"/>
    <w:rsid w:val="00395F68"/>
    <w:rsid w:val="003A2C38"/>
    <w:rsid w:val="003D5CA5"/>
    <w:rsid w:val="003D7457"/>
    <w:rsid w:val="004060F3"/>
    <w:rsid w:val="0040751C"/>
    <w:rsid w:val="00413D68"/>
    <w:rsid w:val="004245B4"/>
    <w:rsid w:val="00424D22"/>
    <w:rsid w:val="00445B1D"/>
    <w:rsid w:val="004472C8"/>
    <w:rsid w:val="00463C4E"/>
    <w:rsid w:val="00467F28"/>
    <w:rsid w:val="00482C11"/>
    <w:rsid w:val="004A4A6C"/>
    <w:rsid w:val="004C21F8"/>
    <w:rsid w:val="004E0DBA"/>
    <w:rsid w:val="004E2FEF"/>
    <w:rsid w:val="004E634A"/>
    <w:rsid w:val="004F46ED"/>
    <w:rsid w:val="00503AD5"/>
    <w:rsid w:val="00511B22"/>
    <w:rsid w:val="0051765A"/>
    <w:rsid w:val="00540B0F"/>
    <w:rsid w:val="00550D53"/>
    <w:rsid w:val="0055332E"/>
    <w:rsid w:val="00556249"/>
    <w:rsid w:val="005763A9"/>
    <w:rsid w:val="0058550F"/>
    <w:rsid w:val="005923B2"/>
    <w:rsid w:val="005A31C3"/>
    <w:rsid w:val="005A38AF"/>
    <w:rsid w:val="005B3BAF"/>
    <w:rsid w:val="005B6543"/>
    <w:rsid w:val="005C431F"/>
    <w:rsid w:val="005D76AF"/>
    <w:rsid w:val="005E60D4"/>
    <w:rsid w:val="005F3669"/>
    <w:rsid w:val="00602329"/>
    <w:rsid w:val="006153F1"/>
    <w:rsid w:val="00620ADE"/>
    <w:rsid w:val="00620CF4"/>
    <w:rsid w:val="006226D6"/>
    <w:rsid w:val="00650ACD"/>
    <w:rsid w:val="00653F88"/>
    <w:rsid w:val="00654BD2"/>
    <w:rsid w:val="00662CD8"/>
    <w:rsid w:val="0067672C"/>
    <w:rsid w:val="00682ABF"/>
    <w:rsid w:val="006929D3"/>
    <w:rsid w:val="0069485E"/>
    <w:rsid w:val="006A014C"/>
    <w:rsid w:val="006A08D8"/>
    <w:rsid w:val="006D7F2A"/>
    <w:rsid w:val="007051C1"/>
    <w:rsid w:val="00706999"/>
    <w:rsid w:val="007110C5"/>
    <w:rsid w:val="0071744F"/>
    <w:rsid w:val="00723B5C"/>
    <w:rsid w:val="00732585"/>
    <w:rsid w:val="00734C73"/>
    <w:rsid w:val="007350F1"/>
    <w:rsid w:val="00746390"/>
    <w:rsid w:val="00750CA9"/>
    <w:rsid w:val="00754CB4"/>
    <w:rsid w:val="00756436"/>
    <w:rsid w:val="0075699C"/>
    <w:rsid w:val="00757448"/>
    <w:rsid w:val="007A5979"/>
    <w:rsid w:val="007A683C"/>
    <w:rsid w:val="007B2B31"/>
    <w:rsid w:val="007D7F68"/>
    <w:rsid w:val="00804BF3"/>
    <w:rsid w:val="00822D83"/>
    <w:rsid w:val="00832820"/>
    <w:rsid w:val="00836639"/>
    <w:rsid w:val="0086606F"/>
    <w:rsid w:val="00870BD9"/>
    <w:rsid w:val="008926DD"/>
    <w:rsid w:val="008A0B78"/>
    <w:rsid w:val="008B0B82"/>
    <w:rsid w:val="008B33B7"/>
    <w:rsid w:val="008D3448"/>
    <w:rsid w:val="008E0CBB"/>
    <w:rsid w:val="008F6BFD"/>
    <w:rsid w:val="008F7158"/>
    <w:rsid w:val="009062CC"/>
    <w:rsid w:val="00910B1F"/>
    <w:rsid w:val="00915DA6"/>
    <w:rsid w:val="00924136"/>
    <w:rsid w:val="00932D39"/>
    <w:rsid w:val="009407B7"/>
    <w:rsid w:val="00941847"/>
    <w:rsid w:val="0094333E"/>
    <w:rsid w:val="00951471"/>
    <w:rsid w:val="009926BF"/>
    <w:rsid w:val="009B732B"/>
    <w:rsid w:val="009F646F"/>
    <w:rsid w:val="009F798D"/>
    <w:rsid w:val="00A356C5"/>
    <w:rsid w:val="00A441A4"/>
    <w:rsid w:val="00A46600"/>
    <w:rsid w:val="00A55857"/>
    <w:rsid w:val="00A64727"/>
    <w:rsid w:val="00A71A65"/>
    <w:rsid w:val="00A82A69"/>
    <w:rsid w:val="00AB31F8"/>
    <w:rsid w:val="00B06EA6"/>
    <w:rsid w:val="00B1252F"/>
    <w:rsid w:val="00B34036"/>
    <w:rsid w:val="00B42738"/>
    <w:rsid w:val="00B57658"/>
    <w:rsid w:val="00B62A41"/>
    <w:rsid w:val="00B74FEA"/>
    <w:rsid w:val="00B80913"/>
    <w:rsid w:val="00B90DCF"/>
    <w:rsid w:val="00BA34F4"/>
    <w:rsid w:val="00BB11C6"/>
    <w:rsid w:val="00BC239C"/>
    <w:rsid w:val="00BD3F7C"/>
    <w:rsid w:val="00BE46CF"/>
    <w:rsid w:val="00C07802"/>
    <w:rsid w:val="00C13E80"/>
    <w:rsid w:val="00C15F55"/>
    <w:rsid w:val="00C34222"/>
    <w:rsid w:val="00C34656"/>
    <w:rsid w:val="00C47BF3"/>
    <w:rsid w:val="00C50586"/>
    <w:rsid w:val="00C57C5D"/>
    <w:rsid w:val="00C70BAB"/>
    <w:rsid w:val="00C82247"/>
    <w:rsid w:val="00C8309E"/>
    <w:rsid w:val="00C86DCA"/>
    <w:rsid w:val="00C97B38"/>
    <w:rsid w:val="00CB413C"/>
    <w:rsid w:val="00CB4FA0"/>
    <w:rsid w:val="00CB6787"/>
    <w:rsid w:val="00CC4E55"/>
    <w:rsid w:val="00CC781C"/>
    <w:rsid w:val="00CE1055"/>
    <w:rsid w:val="00CE2E5D"/>
    <w:rsid w:val="00D00138"/>
    <w:rsid w:val="00D027C7"/>
    <w:rsid w:val="00D11798"/>
    <w:rsid w:val="00D12BD0"/>
    <w:rsid w:val="00D151CC"/>
    <w:rsid w:val="00D329BD"/>
    <w:rsid w:val="00D34040"/>
    <w:rsid w:val="00D458D9"/>
    <w:rsid w:val="00D55E80"/>
    <w:rsid w:val="00D823D8"/>
    <w:rsid w:val="00D9374C"/>
    <w:rsid w:val="00D94CA1"/>
    <w:rsid w:val="00D958C0"/>
    <w:rsid w:val="00DA7566"/>
    <w:rsid w:val="00DB1619"/>
    <w:rsid w:val="00DC7225"/>
    <w:rsid w:val="00DD17EE"/>
    <w:rsid w:val="00DD7154"/>
    <w:rsid w:val="00E05569"/>
    <w:rsid w:val="00E13B2F"/>
    <w:rsid w:val="00E15DF1"/>
    <w:rsid w:val="00E21BA8"/>
    <w:rsid w:val="00E6240B"/>
    <w:rsid w:val="00E63198"/>
    <w:rsid w:val="00E7402D"/>
    <w:rsid w:val="00EB0702"/>
    <w:rsid w:val="00EC0285"/>
    <w:rsid w:val="00EC651F"/>
    <w:rsid w:val="00F05C0F"/>
    <w:rsid w:val="00F30E04"/>
    <w:rsid w:val="00F46C57"/>
    <w:rsid w:val="00F522B6"/>
    <w:rsid w:val="00F54831"/>
    <w:rsid w:val="00F63733"/>
    <w:rsid w:val="00F838CD"/>
    <w:rsid w:val="00F84101"/>
    <w:rsid w:val="00F857DD"/>
    <w:rsid w:val="00F95C6D"/>
    <w:rsid w:val="00FB6384"/>
    <w:rsid w:val="00FC05F3"/>
    <w:rsid w:val="00FD086C"/>
    <w:rsid w:val="00FE4914"/>
    <w:rsid w:val="00FE4B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0B120"/>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semiHidden/>
    <w:unhideWhenUsed/>
    <w:qFormat/>
    <w:rsid w:val="0089455F"/>
    <w:pPr>
      <w:keepNext/>
      <w:keepLines/>
      <w:numPr>
        <w:numId w:val="5"/>
      </w:numPr>
      <w:spacing w:before="40"/>
      <w:ind w:left="1068"/>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styleId="Mentionnonrsolue">
    <w:name w:val="Unresolved Mention"/>
    <w:basedOn w:val="Policepardfaut"/>
    <w:uiPriority w:val="99"/>
    <w:semiHidden/>
    <w:unhideWhenUsed/>
    <w:rsid w:val="009F646F"/>
    <w:rPr>
      <w:color w:val="605E5C"/>
      <w:shd w:val="clear" w:color="auto" w:fill="E1DFDD"/>
    </w:rPr>
  </w:style>
  <w:style w:type="paragraph" w:styleId="NormalWeb">
    <w:name w:val="Normal (Web)"/>
    <w:basedOn w:val="Normal"/>
    <w:uiPriority w:val="99"/>
    <w:unhideWhenUsed/>
    <w:rsid w:val="007D7F68"/>
    <w:pPr>
      <w:spacing w:before="100" w:beforeAutospacing="1" w:after="100" w:afterAutospacing="1"/>
    </w:pPr>
    <w:rPr>
      <w:rFonts w:ascii="Times New Roman" w:eastAsia="Times New Roman" w:hAnsi="Times New Roman" w:cs="Times New Roman"/>
      <w:sz w:val="24"/>
      <w:szCs w:val="24"/>
    </w:rPr>
  </w:style>
  <w:style w:type="character" w:styleId="lev">
    <w:name w:val="Strong"/>
    <w:basedOn w:val="Policepardfaut"/>
    <w:uiPriority w:val="22"/>
    <w:qFormat/>
    <w:rsid w:val="007D7F68"/>
    <w:rPr>
      <w:b/>
      <w:bCs/>
    </w:rPr>
  </w:style>
  <w:style w:type="paragraph" w:customStyle="1" w:styleId="Default">
    <w:name w:val="Default"/>
    <w:rsid w:val="00047829"/>
    <w:pPr>
      <w:autoSpaceDE w:val="0"/>
      <w:autoSpaceDN w:val="0"/>
      <w:adjustRightInd w:val="0"/>
    </w:pPr>
    <w:rPr>
      <w:color w:val="000000"/>
      <w:sz w:val="24"/>
      <w:szCs w:val="24"/>
    </w:rPr>
  </w:style>
  <w:style w:type="paragraph" w:styleId="PrformatHTML">
    <w:name w:val="HTML Preformatted"/>
    <w:basedOn w:val="Normal"/>
    <w:link w:val="PrformatHTMLCar"/>
    <w:uiPriority w:val="99"/>
    <w:semiHidden/>
    <w:unhideWhenUsed/>
    <w:rsid w:val="005D76AF"/>
    <w:rPr>
      <w:rFonts w:ascii="Consolas" w:hAnsi="Consolas"/>
      <w:sz w:val="20"/>
      <w:szCs w:val="20"/>
    </w:rPr>
  </w:style>
  <w:style w:type="character" w:customStyle="1" w:styleId="PrformatHTMLCar">
    <w:name w:val="Préformaté HTML Car"/>
    <w:basedOn w:val="Policepardfaut"/>
    <w:link w:val="PrformatHTML"/>
    <w:uiPriority w:val="99"/>
    <w:semiHidden/>
    <w:rsid w:val="005D76AF"/>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05441">
      <w:bodyDiv w:val="1"/>
      <w:marLeft w:val="0"/>
      <w:marRight w:val="0"/>
      <w:marTop w:val="0"/>
      <w:marBottom w:val="0"/>
      <w:divBdr>
        <w:top w:val="none" w:sz="0" w:space="0" w:color="auto"/>
        <w:left w:val="none" w:sz="0" w:space="0" w:color="auto"/>
        <w:bottom w:val="none" w:sz="0" w:space="0" w:color="auto"/>
        <w:right w:val="none" w:sz="0" w:space="0" w:color="auto"/>
      </w:divBdr>
    </w:div>
    <w:div w:id="723869755">
      <w:bodyDiv w:val="1"/>
      <w:marLeft w:val="0"/>
      <w:marRight w:val="0"/>
      <w:marTop w:val="0"/>
      <w:marBottom w:val="0"/>
      <w:divBdr>
        <w:top w:val="none" w:sz="0" w:space="0" w:color="auto"/>
        <w:left w:val="none" w:sz="0" w:space="0" w:color="auto"/>
        <w:bottom w:val="none" w:sz="0" w:space="0" w:color="auto"/>
        <w:right w:val="none" w:sz="0" w:space="0" w:color="auto"/>
      </w:divBdr>
    </w:div>
    <w:div w:id="1145858504">
      <w:bodyDiv w:val="1"/>
      <w:marLeft w:val="0"/>
      <w:marRight w:val="0"/>
      <w:marTop w:val="0"/>
      <w:marBottom w:val="0"/>
      <w:divBdr>
        <w:top w:val="none" w:sz="0" w:space="0" w:color="auto"/>
        <w:left w:val="none" w:sz="0" w:space="0" w:color="auto"/>
        <w:bottom w:val="none" w:sz="0" w:space="0" w:color="auto"/>
        <w:right w:val="none" w:sz="0" w:space="0" w:color="auto"/>
      </w:divBdr>
    </w:div>
    <w:div w:id="1230771595">
      <w:bodyDiv w:val="1"/>
      <w:marLeft w:val="0"/>
      <w:marRight w:val="0"/>
      <w:marTop w:val="0"/>
      <w:marBottom w:val="0"/>
      <w:divBdr>
        <w:top w:val="none" w:sz="0" w:space="0" w:color="auto"/>
        <w:left w:val="none" w:sz="0" w:space="0" w:color="auto"/>
        <w:bottom w:val="none" w:sz="0" w:space="0" w:color="auto"/>
        <w:right w:val="none" w:sz="0" w:space="0" w:color="auto"/>
      </w:divBdr>
    </w:div>
    <w:div w:id="1949003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horizon-europe.gouv.fr/presentation-du-programme-horizon-europe-24104" TargetMode="External"/><Relationship Id="rId18" Type="http://schemas.openxmlformats.org/officeDocument/2006/relationships/image" Target="media/image6.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3.jpg"/><Relationship Id="rId17" Type="http://schemas.openxmlformats.org/officeDocument/2006/relationships/hyperlink" Target="https://www.horizon2020.gouv.fr/cid81981/les-differents-types-de-financements.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horizon-europe.gouv.fr/les-points-de-contact-nationaux-2423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horizon-europe.gouv.fr/presentation-du-programme-horizon-europe-24104"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horizon-europe.gouv.fr/sites/default/files/2021-02/horizon-europe---pr-sentation-2551.pdf" TargetMode="External"/><Relationship Id="rId23" Type="http://schemas.openxmlformats.org/officeDocument/2006/relationships/footer" Target="footer2.xml"/><Relationship Id="rId10" Type="http://schemas.openxmlformats.org/officeDocument/2006/relationships/image" Target="media/image2.jpg"/><Relationship Id="rId19" Type="http://schemas.openxmlformats.org/officeDocument/2006/relationships/hyperlink" Target="https://www.horizon2020.gouv.fr/cid76866/liste-des-pays-associes-horizon-2020.html" TargetMode="External"/><Relationship Id="rId4" Type="http://schemas.openxmlformats.org/officeDocument/2006/relationships/styles" Target="styles.xml"/><Relationship Id="rId9" Type="http://schemas.openxmlformats.org/officeDocument/2006/relationships/image" Target="media/image1.jfif"/><Relationship Id="rId14" Type="http://schemas.openxmlformats.org/officeDocument/2006/relationships/image" Target="media/image4.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9.jpg"/><Relationship Id="rId2" Type="http://schemas.openxmlformats.org/officeDocument/2006/relationships/image" Target="media/image8.jpg"/><Relationship Id="rId1" Type="http://schemas.openxmlformats.org/officeDocument/2006/relationships/image" Target="media/image7.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Props1.xml><?xml version="1.0" encoding="utf-8"?>
<ds:datastoreItem xmlns:ds="http://schemas.openxmlformats.org/officeDocument/2006/customXml" ds:itemID="{67ED07E5-32E6-44DD-A20C-736D1D87774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2798</Words>
  <Characters>15392</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228</cp:revision>
  <dcterms:created xsi:type="dcterms:W3CDTF">2020-12-16T09:19:00Z</dcterms:created>
  <dcterms:modified xsi:type="dcterms:W3CDTF">2021-06-29T15:25:00Z</dcterms:modified>
</cp:coreProperties>
</file>